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adjustRightInd w:val="0"/>
        <w:snapToGrid w:val="0"/>
        <w:spacing w:line="700" w:lineRule="exact"/>
        <w:jc w:val="center"/>
        <w:rPr>
          <w:rFonts w:hint="eastAsia" w:ascii="方正小标宋简体" w:hAnsi="宋体" w:eastAsia="方正小标宋简体" w:cs="宋体"/>
          <w:bCs/>
          <w:sz w:val="40"/>
          <w:szCs w:val="40"/>
        </w:rPr>
      </w:pPr>
    </w:p>
    <w:p>
      <w:pPr>
        <w:pStyle w:val="2"/>
        <w:adjustRightInd w:val="0"/>
        <w:snapToGrid w:val="0"/>
        <w:spacing w:line="700" w:lineRule="exact"/>
        <w:jc w:val="center"/>
        <w:rPr>
          <w:rFonts w:hint="eastAsia" w:ascii="方正小标宋简体" w:hAnsi="宋体" w:eastAsia="方正小标宋简体" w:cs="宋体"/>
          <w:bCs/>
          <w:sz w:val="40"/>
          <w:szCs w:val="40"/>
        </w:rPr>
      </w:pPr>
    </w:p>
    <w:p>
      <w:pPr>
        <w:pStyle w:val="2"/>
        <w:adjustRightInd w:val="0"/>
        <w:snapToGrid w:val="0"/>
        <w:spacing w:line="700" w:lineRule="exact"/>
        <w:jc w:val="center"/>
        <w:rPr>
          <w:rFonts w:hint="eastAsia" w:asciiTheme="majorEastAsia" w:hAnsiTheme="majorEastAsia" w:eastAsiaTheme="majorEastAsia" w:cstheme="majorEastAsia"/>
          <w:bCs/>
          <w:sz w:val="44"/>
          <w:szCs w:val="44"/>
        </w:rPr>
      </w:pPr>
      <w:r>
        <w:rPr>
          <w:rFonts w:hint="eastAsia" w:asciiTheme="majorEastAsia" w:hAnsiTheme="majorEastAsia" w:eastAsiaTheme="majorEastAsia" w:cstheme="majorEastAsia"/>
          <w:bCs/>
          <w:sz w:val="44"/>
          <w:szCs w:val="44"/>
        </w:rPr>
        <w:t>福州市市场监督管理局</w:t>
      </w:r>
    </w:p>
    <w:p>
      <w:pPr>
        <w:pStyle w:val="2"/>
        <w:adjustRightInd w:val="0"/>
        <w:snapToGrid w:val="0"/>
        <w:spacing w:line="700" w:lineRule="exact"/>
        <w:jc w:val="center"/>
        <w:rPr>
          <w:rFonts w:hint="eastAsia" w:asciiTheme="majorEastAsia" w:hAnsiTheme="majorEastAsia" w:eastAsiaTheme="majorEastAsia" w:cstheme="majorEastAsia"/>
          <w:bCs/>
          <w:sz w:val="44"/>
          <w:szCs w:val="44"/>
        </w:rPr>
      </w:pPr>
      <w:r>
        <w:rPr>
          <w:rFonts w:hint="eastAsia" w:asciiTheme="majorEastAsia" w:hAnsiTheme="majorEastAsia" w:eastAsiaTheme="majorEastAsia" w:cstheme="majorEastAsia"/>
          <w:bCs/>
          <w:sz w:val="44"/>
          <w:szCs w:val="44"/>
        </w:rPr>
        <w:t>关于组织开展20</w:t>
      </w:r>
      <w:r>
        <w:rPr>
          <w:rFonts w:hint="eastAsia" w:asciiTheme="majorEastAsia" w:hAnsiTheme="majorEastAsia" w:eastAsiaTheme="majorEastAsia" w:cstheme="majorEastAsia"/>
          <w:bCs/>
          <w:sz w:val="44"/>
          <w:szCs w:val="44"/>
          <w:lang w:val="en-US" w:eastAsia="zh-CN"/>
        </w:rPr>
        <w:t>20</w:t>
      </w:r>
      <w:r>
        <w:rPr>
          <w:rFonts w:hint="eastAsia" w:asciiTheme="majorEastAsia" w:hAnsiTheme="majorEastAsia" w:eastAsiaTheme="majorEastAsia" w:cstheme="majorEastAsia"/>
          <w:bCs/>
          <w:sz w:val="44"/>
          <w:szCs w:val="44"/>
        </w:rPr>
        <w:t>年度国家知识产权示范企业和优势企业</w:t>
      </w:r>
      <w:r>
        <w:rPr>
          <w:rFonts w:hint="eastAsia" w:asciiTheme="majorEastAsia" w:hAnsiTheme="majorEastAsia" w:eastAsiaTheme="majorEastAsia" w:cstheme="majorEastAsia"/>
          <w:bCs/>
          <w:sz w:val="44"/>
          <w:szCs w:val="44"/>
          <w:lang w:eastAsia="zh-CN"/>
        </w:rPr>
        <w:t>典型案例征集遴选和年度考</w:t>
      </w:r>
      <w:r>
        <w:rPr>
          <w:rFonts w:hint="eastAsia" w:asciiTheme="majorEastAsia" w:hAnsiTheme="majorEastAsia" w:eastAsiaTheme="majorEastAsia" w:cstheme="majorEastAsia"/>
          <w:bCs/>
          <w:sz w:val="44"/>
          <w:szCs w:val="44"/>
        </w:rPr>
        <w:t>核工作的通知</w:t>
      </w:r>
    </w:p>
    <w:p>
      <w:pPr>
        <w:spacing w:line="560" w:lineRule="exact"/>
        <w:rPr>
          <w:rFonts w:ascii="仿宋_GB2312"/>
          <w:szCs w:val="32"/>
        </w:rPr>
      </w:pPr>
    </w:p>
    <w:p>
      <w:pPr>
        <w:spacing w:line="600" w:lineRule="exact"/>
        <w:rPr>
          <w:rFonts w:hint="eastAsia" w:ascii="仿宋_GB2312" w:hAnsi="仿宋_GB2312" w:eastAsia="仿宋_GB2312" w:cs="仿宋_GB2312"/>
          <w:szCs w:val="32"/>
        </w:rPr>
      </w:pPr>
      <w:r>
        <w:rPr>
          <w:rFonts w:hint="eastAsia" w:ascii="仿宋_GB2312" w:hAnsi="仿宋_GB2312" w:eastAsia="仿宋_GB2312" w:cs="仿宋_GB2312"/>
          <w:szCs w:val="32"/>
        </w:rPr>
        <w:t>各县（市）区市场监督管理局</w:t>
      </w:r>
      <w:r>
        <w:rPr>
          <w:rFonts w:hint="eastAsia" w:ascii="仿宋_GB2312" w:hAnsi="仿宋_GB2312" w:eastAsia="仿宋_GB2312" w:cs="仿宋_GB2312"/>
          <w:szCs w:val="32"/>
          <w:lang w:eastAsia="zh-CN"/>
        </w:rPr>
        <w:t>、</w:t>
      </w:r>
      <w:r>
        <w:rPr>
          <w:rFonts w:hint="eastAsia" w:ascii="仿宋_GB2312" w:hAnsi="仿宋_GB2312" w:eastAsia="仿宋_GB2312" w:cs="仿宋_GB2312"/>
          <w:szCs w:val="32"/>
        </w:rPr>
        <w:t>各有关企业：</w:t>
      </w:r>
    </w:p>
    <w:p>
      <w:pPr>
        <w:widowControl/>
        <w:shd w:val="clear" w:color="auto" w:fill="FFFFFF"/>
        <w:spacing w:line="480" w:lineRule="atLeast"/>
        <w:jc w:val="left"/>
        <w:rPr>
          <w:rFonts w:hint="eastAsia" w:ascii="仿宋_GB2312" w:hAnsi="仿宋_GB2312" w:eastAsia="仿宋_GB2312" w:cs="仿宋_GB2312"/>
          <w:szCs w:val="32"/>
        </w:rPr>
      </w:pPr>
      <w:r>
        <w:rPr>
          <w:rFonts w:hint="eastAsia" w:ascii="仿宋_GB2312" w:hAnsi="仿宋_GB2312" w:eastAsia="仿宋_GB2312" w:cs="仿宋_GB2312"/>
          <w:szCs w:val="32"/>
          <w:lang w:val="en-US" w:eastAsia="zh-CN"/>
        </w:rPr>
        <w:t xml:space="preserve">   </w:t>
      </w:r>
      <w:r>
        <w:rPr>
          <w:rFonts w:hint="eastAsia" w:ascii="仿宋_GB2312" w:hAnsi="仿宋_GB2312" w:eastAsia="仿宋_GB2312" w:cs="仿宋_GB2312"/>
          <w:szCs w:val="32"/>
        </w:rPr>
        <w:t>根据</w:t>
      </w:r>
      <w:r>
        <w:rPr>
          <w:rFonts w:hint="eastAsia" w:ascii="仿宋_GB2312" w:hAnsi="仿宋_GB2312" w:eastAsia="仿宋_GB2312" w:cs="仿宋_GB2312"/>
          <w:szCs w:val="32"/>
          <w:lang w:eastAsia="zh-CN"/>
        </w:rPr>
        <w:t>省知识产权局</w:t>
      </w:r>
      <w:r>
        <w:rPr>
          <w:rFonts w:hint="eastAsia" w:ascii="仿宋_GB2312" w:hAnsi="仿宋_GB2312" w:eastAsia="仿宋_GB2312" w:cs="仿宋_GB2312"/>
          <w:szCs w:val="32"/>
        </w:rPr>
        <w:t>《关于组织开展国家知识产权示范企业和优势企业</w:t>
      </w:r>
      <w:r>
        <w:rPr>
          <w:rFonts w:hint="eastAsia" w:ascii="仿宋_GB2312" w:hAnsi="仿宋_GB2312" w:eastAsia="仿宋_GB2312" w:cs="仿宋_GB2312"/>
          <w:szCs w:val="32"/>
          <w:lang w:eastAsia="zh-CN"/>
        </w:rPr>
        <w:t>典型案例征集遴选和年度考</w:t>
      </w:r>
      <w:r>
        <w:rPr>
          <w:rFonts w:hint="eastAsia" w:ascii="仿宋_GB2312" w:hAnsi="仿宋_GB2312" w:eastAsia="仿宋_GB2312" w:cs="仿宋_GB2312"/>
          <w:szCs w:val="32"/>
        </w:rPr>
        <w:t>核工作的通知》（附件1）精神，经研究，我局决定启动福州市20</w:t>
      </w:r>
      <w:r>
        <w:rPr>
          <w:rFonts w:hint="eastAsia" w:ascii="仿宋_GB2312" w:hAnsi="仿宋_GB2312" w:eastAsia="仿宋_GB2312" w:cs="仿宋_GB2312"/>
          <w:szCs w:val="32"/>
          <w:lang w:val="en-US" w:eastAsia="zh-CN"/>
        </w:rPr>
        <w:t>20</w:t>
      </w:r>
      <w:r>
        <w:rPr>
          <w:rFonts w:hint="eastAsia" w:ascii="仿宋_GB2312" w:hAnsi="仿宋_GB2312" w:eastAsia="仿宋_GB2312" w:cs="仿宋_GB2312"/>
          <w:szCs w:val="32"/>
        </w:rPr>
        <w:t>年度国家知识产权示范企业和优势企业</w:t>
      </w:r>
      <w:r>
        <w:rPr>
          <w:rFonts w:hint="eastAsia" w:ascii="仿宋_GB2312" w:hAnsi="仿宋_GB2312" w:eastAsia="仿宋_GB2312" w:cs="仿宋_GB2312"/>
          <w:szCs w:val="32"/>
          <w:lang w:eastAsia="zh-CN"/>
        </w:rPr>
        <w:t>典型案例征集遴选和年度考</w:t>
      </w:r>
      <w:r>
        <w:rPr>
          <w:rFonts w:hint="eastAsia" w:ascii="仿宋_GB2312" w:hAnsi="仿宋_GB2312" w:eastAsia="仿宋_GB2312" w:cs="仿宋_GB2312"/>
          <w:szCs w:val="32"/>
        </w:rPr>
        <w:t>核工作。请根据《通知》要求，重点做好以下工作：</w:t>
      </w:r>
    </w:p>
    <w:p>
      <w:pPr>
        <w:keepNext w:val="0"/>
        <w:keepLines w:val="0"/>
        <w:pageBreakBefore w:val="0"/>
        <w:widowControl/>
        <w:shd w:val="clear" w:color="auto" w:fill="FFFFFF"/>
        <w:kinsoku/>
        <w:wordWrap/>
        <w:overflowPunct/>
        <w:topLinePunct w:val="0"/>
        <w:autoSpaceDE/>
        <w:autoSpaceDN/>
        <w:bidi w:val="0"/>
        <w:adjustRightInd/>
        <w:snapToGrid w:val="0"/>
        <w:spacing w:line="360" w:lineRule="auto"/>
        <w:ind w:left="0" w:leftChars="0" w:right="0" w:rightChars="0" w:firstLine="632" w:firstLineChars="200"/>
        <w:jc w:val="both"/>
        <w:textAlignment w:val="auto"/>
        <w:outlineLvl w:val="9"/>
        <w:rPr>
          <w:rFonts w:hint="eastAsia" w:ascii="黑体" w:hAnsi="黑体" w:eastAsia="黑体" w:cs="黑体"/>
          <w:b w:val="0"/>
          <w:bCs/>
          <w:color w:val="000000"/>
          <w:kern w:val="0"/>
          <w:sz w:val="32"/>
          <w:szCs w:val="32"/>
          <w:shd w:val="clear" w:color="auto" w:fill="FFFFFF"/>
          <w:lang w:bidi="ar"/>
        </w:rPr>
      </w:pPr>
      <w:r>
        <w:rPr>
          <w:rFonts w:hint="eastAsia" w:ascii="黑体" w:hAnsi="黑体" w:eastAsia="黑体" w:cs="黑体"/>
          <w:b w:val="0"/>
          <w:bCs/>
          <w:color w:val="000000"/>
          <w:kern w:val="0"/>
          <w:sz w:val="32"/>
          <w:szCs w:val="32"/>
          <w:shd w:val="clear" w:color="auto" w:fill="FFFFFF"/>
          <w:lang w:bidi="ar"/>
        </w:rPr>
        <w:t>一、</w:t>
      </w:r>
      <w:r>
        <w:rPr>
          <w:rFonts w:hint="eastAsia" w:ascii="黑体" w:hAnsi="黑体" w:eastAsia="黑体" w:cs="黑体"/>
          <w:b w:val="0"/>
          <w:bCs/>
          <w:color w:val="000000"/>
          <w:kern w:val="0"/>
          <w:sz w:val="32"/>
          <w:szCs w:val="32"/>
          <w:shd w:val="clear" w:color="auto" w:fill="FFFFFF"/>
          <w:lang w:eastAsia="zh-CN" w:bidi="ar"/>
        </w:rPr>
        <w:t>典型案例征集遴选</w:t>
      </w:r>
    </w:p>
    <w:p>
      <w:pPr>
        <w:keepNext w:val="0"/>
        <w:keepLines w:val="0"/>
        <w:pageBreakBefore w:val="0"/>
        <w:shd w:val="clear" w:color="auto" w:fill="FFFFFF"/>
        <w:kinsoku/>
        <w:wordWrap/>
        <w:overflowPunct/>
        <w:topLinePunct w:val="0"/>
        <w:autoSpaceDE/>
        <w:autoSpaceDN/>
        <w:bidi w:val="0"/>
        <w:adjustRightInd/>
        <w:snapToGrid w:val="0"/>
        <w:spacing w:line="360" w:lineRule="auto"/>
        <w:ind w:left="0" w:leftChars="0" w:right="0" w:rightChars="0" w:firstLine="632" w:firstLineChars="200"/>
        <w:jc w:val="both"/>
        <w:textAlignment w:val="auto"/>
        <w:outlineLvl w:val="9"/>
        <w:rPr>
          <w:rFonts w:hint="eastAsia" w:ascii="仿宋_GB2312" w:hAnsi="仿宋_GB2312" w:eastAsia="仿宋_GB2312" w:cs="仿宋_GB2312"/>
          <w:color w:val="000000"/>
          <w:kern w:val="0"/>
          <w:sz w:val="32"/>
          <w:szCs w:val="32"/>
          <w:shd w:val="clear" w:color="auto" w:fill="FFFFFF"/>
          <w:lang w:eastAsia="zh-CN" w:bidi="ar"/>
        </w:rPr>
      </w:pPr>
      <w:r>
        <w:rPr>
          <w:rFonts w:hint="eastAsia" w:ascii="仿宋_GB2312" w:hAnsi="仿宋_GB2312" w:eastAsia="仿宋_GB2312" w:cs="仿宋_GB2312"/>
          <w:color w:val="000000"/>
          <w:kern w:val="0"/>
          <w:sz w:val="32"/>
          <w:szCs w:val="32"/>
          <w:shd w:val="clear" w:color="auto" w:fill="FFFFFF"/>
          <w:lang w:val="en-US" w:eastAsia="zh-CN" w:bidi="ar"/>
        </w:rPr>
        <w:t>各</w:t>
      </w:r>
      <w:r>
        <w:rPr>
          <w:rFonts w:hint="eastAsia" w:ascii="仿宋_GB2312" w:hAnsi="仿宋_GB2312" w:eastAsia="仿宋_GB2312" w:cs="仿宋_GB2312"/>
          <w:szCs w:val="32"/>
        </w:rPr>
        <w:t>县（市）区市场监督管理局</w:t>
      </w:r>
      <w:r>
        <w:rPr>
          <w:rFonts w:hint="eastAsia" w:ascii="仿宋_GB2312" w:hAnsi="仿宋_GB2312" w:eastAsia="仿宋_GB2312" w:cs="仿宋_GB2312"/>
          <w:color w:val="000000"/>
          <w:kern w:val="0"/>
          <w:sz w:val="32"/>
          <w:szCs w:val="32"/>
          <w:shd w:val="clear" w:color="auto" w:fill="FFFFFF"/>
          <w:lang w:eastAsia="zh-CN" w:bidi="ar"/>
        </w:rPr>
        <w:t>组织</w:t>
      </w:r>
      <w:r>
        <w:rPr>
          <w:rFonts w:hint="eastAsia" w:ascii="仿宋_GB2312" w:hAnsi="仿宋_GB2312" w:eastAsia="仿宋_GB2312" w:cs="仿宋_GB2312"/>
          <w:color w:val="000000"/>
          <w:kern w:val="0"/>
          <w:sz w:val="32"/>
          <w:szCs w:val="32"/>
          <w:shd w:val="clear" w:color="auto" w:fill="FFFFFF"/>
          <w:lang w:bidi="ar"/>
        </w:rPr>
        <w:t>本辖区内</w:t>
      </w:r>
      <w:r>
        <w:rPr>
          <w:rFonts w:hint="eastAsia" w:ascii="仿宋_GB2312" w:hAnsi="仿宋_GB2312" w:eastAsia="仿宋_GB2312" w:cs="仿宋_GB2312"/>
          <w:color w:val="000000"/>
          <w:kern w:val="0"/>
          <w:sz w:val="32"/>
          <w:szCs w:val="32"/>
          <w:shd w:val="clear" w:color="auto" w:fill="FFFFFF"/>
          <w:lang w:val="en-US" w:eastAsia="zh-CN" w:bidi="ar"/>
        </w:rPr>
        <w:t>2017年前（含2017年）确认的</w:t>
      </w:r>
      <w:r>
        <w:rPr>
          <w:rFonts w:hint="eastAsia" w:ascii="仿宋_GB2312" w:hAnsi="仿宋_GB2312" w:eastAsia="仿宋_GB2312" w:cs="仿宋_GB2312"/>
          <w:color w:val="000000"/>
          <w:kern w:val="0"/>
          <w:sz w:val="32"/>
          <w:szCs w:val="32"/>
          <w:shd w:val="clear" w:color="auto" w:fill="FFFFFF"/>
          <w:lang w:eastAsia="zh-CN" w:bidi="ar"/>
        </w:rPr>
        <w:t>国家知识产权示范和优势企业（详见附件</w:t>
      </w:r>
      <w:r>
        <w:rPr>
          <w:rFonts w:hint="eastAsia" w:ascii="仿宋_GB2312" w:hAnsi="仿宋_GB2312" w:eastAsia="仿宋_GB2312" w:cs="仿宋_GB2312"/>
          <w:color w:val="000000"/>
          <w:kern w:val="0"/>
          <w:sz w:val="32"/>
          <w:szCs w:val="32"/>
          <w:shd w:val="clear" w:color="auto" w:fill="FFFFFF"/>
          <w:lang w:val="en-US" w:eastAsia="zh-CN" w:bidi="ar"/>
        </w:rPr>
        <w:t>2</w:t>
      </w:r>
      <w:r>
        <w:rPr>
          <w:rFonts w:hint="eastAsia" w:ascii="仿宋_GB2312" w:hAnsi="仿宋_GB2312" w:eastAsia="仿宋_GB2312" w:cs="仿宋_GB2312"/>
          <w:color w:val="000000"/>
          <w:kern w:val="0"/>
          <w:sz w:val="32"/>
          <w:szCs w:val="32"/>
          <w:shd w:val="clear" w:color="auto" w:fill="FFFFFF"/>
          <w:lang w:eastAsia="zh-CN" w:bidi="ar"/>
        </w:rPr>
        <w:t>），总结梳理知识产权支撑企业核心竞争力提升典型案例（典型案例模板详见附件</w:t>
      </w:r>
      <w:r>
        <w:rPr>
          <w:rFonts w:hint="eastAsia" w:ascii="仿宋_GB2312" w:hAnsi="仿宋_GB2312" w:eastAsia="仿宋_GB2312" w:cs="仿宋_GB2312"/>
          <w:color w:val="000000"/>
          <w:kern w:val="0"/>
          <w:sz w:val="32"/>
          <w:szCs w:val="32"/>
          <w:shd w:val="clear" w:color="auto" w:fill="FFFFFF"/>
          <w:lang w:val="en-US" w:eastAsia="zh-CN" w:bidi="ar"/>
        </w:rPr>
        <w:t>3</w:t>
      </w:r>
      <w:r>
        <w:rPr>
          <w:rFonts w:hint="eastAsia" w:ascii="仿宋_GB2312" w:hAnsi="仿宋_GB2312" w:eastAsia="仿宋_GB2312" w:cs="仿宋_GB2312"/>
          <w:color w:val="000000"/>
          <w:kern w:val="0"/>
          <w:sz w:val="32"/>
          <w:szCs w:val="32"/>
          <w:shd w:val="clear" w:color="auto" w:fill="FFFFFF"/>
          <w:lang w:eastAsia="zh-CN" w:bidi="ar"/>
        </w:rPr>
        <w:t>）。</w:t>
      </w:r>
    </w:p>
    <w:p>
      <w:pPr>
        <w:keepNext w:val="0"/>
        <w:keepLines w:val="0"/>
        <w:pageBreakBefore w:val="0"/>
        <w:widowControl/>
        <w:shd w:val="clear" w:color="auto" w:fill="FFFFFF"/>
        <w:kinsoku/>
        <w:wordWrap/>
        <w:overflowPunct/>
        <w:topLinePunct w:val="0"/>
        <w:autoSpaceDE/>
        <w:autoSpaceDN/>
        <w:bidi w:val="0"/>
        <w:adjustRightInd/>
        <w:snapToGrid w:val="0"/>
        <w:spacing w:line="360" w:lineRule="auto"/>
        <w:ind w:left="0" w:leftChars="0" w:right="0" w:rightChars="0" w:firstLine="632" w:firstLineChars="200"/>
        <w:jc w:val="both"/>
        <w:textAlignment w:val="auto"/>
        <w:outlineLvl w:val="9"/>
        <w:rPr>
          <w:rFonts w:hint="eastAsia" w:ascii="黑体" w:hAnsi="黑体" w:eastAsia="黑体" w:cs="黑体"/>
          <w:b w:val="0"/>
          <w:bCs/>
          <w:color w:val="000000"/>
          <w:kern w:val="0"/>
          <w:sz w:val="32"/>
          <w:szCs w:val="32"/>
          <w:shd w:val="clear" w:color="auto" w:fill="FFFFFF"/>
          <w:lang w:bidi="ar"/>
        </w:rPr>
      </w:pPr>
      <w:r>
        <w:rPr>
          <w:rFonts w:hint="eastAsia" w:ascii="黑体" w:hAnsi="黑体" w:eastAsia="黑体" w:cs="黑体"/>
          <w:b w:val="0"/>
          <w:bCs/>
          <w:color w:val="000000"/>
          <w:kern w:val="0"/>
          <w:sz w:val="32"/>
          <w:szCs w:val="32"/>
          <w:shd w:val="clear" w:color="auto" w:fill="FFFFFF"/>
          <w:lang w:eastAsia="zh-CN" w:bidi="ar"/>
        </w:rPr>
        <w:t>二、</w:t>
      </w:r>
      <w:r>
        <w:rPr>
          <w:rFonts w:hint="eastAsia" w:ascii="黑体" w:hAnsi="黑体" w:eastAsia="黑体" w:cs="黑体"/>
          <w:b w:val="0"/>
          <w:bCs/>
          <w:color w:val="000000"/>
          <w:kern w:val="0"/>
          <w:sz w:val="32"/>
          <w:szCs w:val="32"/>
          <w:shd w:val="clear" w:color="auto" w:fill="FFFFFF"/>
          <w:lang w:bidi="ar"/>
        </w:rPr>
        <w:t>国家知识产权示范企业和优势企业年度考核</w:t>
      </w:r>
    </w:p>
    <w:p>
      <w:pPr>
        <w:spacing w:line="520" w:lineRule="exact"/>
        <w:ind w:firstLine="645"/>
        <w:rPr>
          <w:rFonts w:hint="eastAsia" w:ascii="楷体" w:hAnsi="楷体" w:eastAsia="楷体" w:cs="楷体"/>
          <w:b/>
          <w:color w:val="000000"/>
          <w:kern w:val="0"/>
          <w:szCs w:val="32"/>
        </w:rPr>
      </w:pPr>
      <w:r>
        <w:rPr>
          <w:rFonts w:hint="eastAsia" w:ascii="楷体" w:hAnsi="楷体" w:eastAsia="楷体" w:cs="楷体"/>
          <w:b/>
          <w:color w:val="000000"/>
          <w:kern w:val="0"/>
          <w:sz w:val="32"/>
          <w:szCs w:val="32"/>
          <w:shd w:val="clear" w:color="auto" w:fill="FFFFFF"/>
          <w:lang w:bidi="ar"/>
        </w:rPr>
        <w:t>（一）考核对象</w:t>
      </w:r>
    </w:p>
    <w:p>
      <w:pPr>
        <w:spacing w:line="600" w:lineRule="exact"/>
        <w:ind w:firstLine="632"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国家知识产权示范企业和优势企业（</w:t>
      </w:r>
      <w:r>
        <w:rPr>
          <w:rFonts w:hint="eastAsia" w:ascii="仿宋_GB2312" w:hAnsi="仿宋_GB2312" w:eastAsia="仿宋_GB2312" w:cs="仿宋_GB2312"/>
          <w:color w:val="000000"/>
          <w:kern w:val="0"/>
          <w:sz w:val="32"/>
          <w:szCs w:val="32"/>
          <w:shd w:val="clear" w:color="auto" w:fill="FFFFFF"/>
          <w:lang w:eastAsia="zh-CN" w:bidi="ar"/>
        </w:rPr>
        <w:t>详见附件</w:t>
      </w:r>
      <w:r>
        <w:rPr>
          <w:rFonts w:hint="eastAsia" w:ascii="仿宋_GB2312" w:hAnsi="仿宋_GB2312" w:eastAsia="仿宋_GB2312" w:cs="仿宋_GB2312"/>
          <w:color w:val="000000"/>
          <w:kern w:val="0"/>
          <w:sz w:val="32"/>
          <w:szCs w:val="32"/>
          <w:shd w:val="clear" w:color="auto" w:fill="FFFFFF"/>
          <w:lang w:val="en-US" w:eastAsia="zh-CN" w:bidi="ar"/>
        </w:rPr>
        <w:t>2</w:t>
      </w:r>
      <w:r>
        <w:rPr>
          <w:rFonts w:hint="eastAsia" w:ascii="仿宋_GB2312" w:hAnsi="仿宋_GB2312" w:eastAsia="仿宋_GB2312" w:cs="仿宋_GB2312"/>
          <w:szCs w:val="32"/>
        </w:rPr>
        <w:t>）</w:t>
      </w:r>
    </w:p>
    <w:p>
      <w:pPr>
        <w:spacing w:line="520" w:lineRule="exact"/>
        <w:ind w:firstLine="645"/>
        <w:rPr>
          <w:rFonts w:hint="eastAsia" w:ascii="楷体" w:hAnsi="楷体" w:eastAsia="楷体" w:cs="楷体"/>
          <w:b/>
          <w:color w:val="000000"/>
          <w:kern w:val="0"/>
          <w:sz w:val="32"/>
          <w:szCs w:val="32"/>
          <w:shd w:val="clear" w:color="auto" w:fill="FFFFFF"/>
          <w:lang w:bidi="ar"/>
        </w:rPr>
      </w:pPr>
      <w:r>
        <w:rPr>
          <w:rFonts w:hint="eastAsia" w:ascii="楷体" w:hAnsi="楷体" w:eastAsia="楷体" w:cs="楷体"/>
          <w:b/>
          <w:color w:val="000000"/>
          <w:kern w:val="0"/>
          <w:sz w:val="32"/>
          <w:szCs w:val="32"/>
          <w:shd w:val="clear" w:color="auto" w:fill="FFFFFF"/>
          <w:lang w:bidi="ar"/>
        </w:rPr>
        <w:t>（二）考核内容</w:t>
      </w:r>
    </w:p>
    <w:p>
      <w:pPr>
        <w:spacing w:line="600" w:lineRule="exact"/>
        <w:ind w:firstLine="632"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按照《国家知识产权局办公室关于开展国家知识产权示范企业和优势企业典型案例征集遴选和年度考核工作的通知》（国知办函运字</w:t>
      </w:r>
      <w:r>
        <w:rPr>
          <w:rFonts w:hint="eastAsia" w:ascii="仿宋_GB2312" w:hAnsi="仿宋_GB2312" w:eastAsia="仿宋_GB2312" w:cs="仿宋_GB2312"/>
          <w:bCs/>
          <w:szCs w:val="32"/>
        </w:rPr>
        <w:t>〔20</w:t>
      </w:r>
      <w:r>
        <w:rPr>
          <w:rFonts w:hint="eastAsia" w:ascii="仿宋_GB2312" w:hAnsi="仿宋_GB2312" w:eastAsia="仿宋_GB2312" w:cs="仿宋_GB2312"/>
          <w:bCs/>
          <w:szCs w:val="32"/>
          <w:lang w:val="en-US" w:eastAsia="zh-CN"/>
        </w:rPr>
        <w:t>20</w:t>
      </w:r>
      <w:r>
        <w:rPr>
          <w:rFonts w:hint="eastAsia" w:ascii="仿宋_GB2312" w:hAnsi="仿宋_GB2312" w:eastAsia="仿宋_GB2312" w:cs="仿宋_GB2312"/>
          <w:bCs/>
          <w:szCs w:val="32"/>
        </w:rPr>
        <w:t>〕</w:t>
      </w:r>
      <w:r>
        <w:rPr>
          <w:rFonts w:hint="eastAsia" w:ascii="仿宋_GB2312" w:hAnsi="仿宋_GB2312" w:eastAsia="仿宋_GB2312" w:cs="仿宋_GB2312"/>
          <w:bCs/>
          <w:szCs w:val="32"/>
          <w:lang w:val="en-US" w:eastAsia="zh-CN"/>
        </w:rPr>
        <w:t>895</w:t>
      </w:r>
      <w:r>
        <w:rPr>
          <w:rFonts w:hint="eastAsia" w:ascii="仿宋_GB2312" w:hAnsi="仿宋_GB2312" w:eastAsia="仿宋_GB2312" w:cs="仿宋_GB2312"/>
          <w:bCs/>
          <w:szCs w:val="32"/>
        </w:rPr>
        <w:t>号）考核内容进行考核。</w:t>
      </w:r>
    </w:p>
    <w:p>
      <w:pPr>
        <w:spacing w:line="520" w:lineRule="exact"/>
        <w:ind w:firstLine="645"/>
        <w:rPr>
          <w:rFonts w:hint="eastAsia" w:ascii="仿宋_GB2312" w:hAnsi="仿宋_GB2312" w:eastAsia="仿宋_GB2312" w:cs="仿宋_GB2312"/>
          <w:b/>
          <w:color w:val="000000"/>
          <w:kern w:val="0"/>
          <w:szCs w:val="32"/>
        </w:rPr>
      </w:pPr>
      <w:r>
        <w:rPr>
          <w:rFonts w:hint="eastAsia" w:ascii="仿宋_GB2312" w:hAnsi="仿宋_GB2312" w:eastAsia="仿宋_GB2312" w:cs="仿宋_GB2312"/>
          <w:b/>
          <w:color w:val="000000"/>
          <w:kern w:val="0"/>
          <w:szCs w:val="32"/>
        </w:rPr>
        <w:t>（三）考核程序</w:t>
      </w:r>
    </w:p>
    <w:p>
      <w:pPr>
        <w:spacing w:line="520" w:lineRule="exact"/>
        <w:ind w:firstLine="645"/>
        <w:rPr>
          <w:rFonts w:hint="eastAsia" w:ascii="仿宋_GB2312" w:hAnsi="仿宋_GB2312" w:eastAsia="仿宋_GB2312" w:cs="仿宋_GB2312"/>
          <w:color w:val="000000"/>
          <w:kern w:val="0"/>
          <w:szCs w:val="32"/>
        </w:rPr>
      </w:pPr>
      <w:r>
        <w:rPr>
          <w:rFonts w:hint="eastAsia" w:ascii="仿宋_GB2312" w:hAnsi="仿宋_GB2312" w:eastAsia="仿宋_GB2312" w:cs="仿宋_GB2312"/>
          <w:color w:val="000000"/>
          <w:kern w:val="0"/>
          <w:szCs w:val="32"/>
        </w:rPr>
        <w:t>1</w:t>
      </w:r>
      <w:r>
        <w:rPr>
          <w:rFonts w:hint="eastAsia" w:ascii="仿宋_GB2312" w:hAnsi="仿宋_GB2312" w:cs="仿宋_GB2312"/>
          <w:color w:val="000000"/>
          <w:kern w:val="0"/>
          <w:szCs w:val="32"/>
          <w:lang w:val="en-US" w:eastAsia="zh-CN"/>
        </w:rPr>
        <w:t>.</w:t>
      </w:r>
      <w:r>
        <w:rPr>
          <w:rFonts w:hint="eastAsia" w:ascii="仿宋_GB2312" w:hAnsi="仿宋_GB2312" w:eastAsia="仿宋_GB2312" w:cs="仿宋_GB2312"/>
          <w:color w:val="000000"/>
          <w:kern w:val="0"/>
          <w:szCs w:val="32"/>
        </w:rPr>
        <w:t>企业在线填报信息材料</w:t>
      </w:r>
      <w:r>
        <w:rPr>
          <w:rFonts w:hint="eastAsia" w:ascii="仿宋_GB2312" w:hAnsi="仿宋_GB2312" w:eastAsia="仿宋_GB2312" w:cs="仿宋_GB2312"/>
          <w:color w:val="000000"/>
          <w:kern w:val="0"/>
          <w:szCs w:val="32"/>
          <w:lang w:eastAsia="zh-CN"/>
        </w:rPr>
        <w:t>（</w:t>
      </w:r>
      <w:r>
        <w:rPr>
          <w:rFonts w:hint="eastAsia" w:ascii="仿宋_GB2312" w:hAnsi="仿宋_GB2312" w:eastAsia="仿宋_GB2312" w:cs="仿宋_GB2312"/>
          <w:color w:val="000000"/>
          <w:kern w:val="0"/>
          <w:sz w:val="32"/>
          <w:szCs w:val="32"/>
          <w:shd w:val="clear" w:color="auto" w:fill="FFFFFF"/>
          <w:lang w:eastAsia="zh-CN" w:bidi="ar"/>
        </w:rPr>
        <w:t>“国家知识产权示范企业和优势企业管理系统”网址http://shenbao.cneip.org.cn在线填报年度考核信息</w:t>
      </w:r>
      <w:r>
        <w:rPr>
          <w:rFonts w:hint="eastAsia" w:ascii="仿宋_GB2312" w:hAnsi="仿宋_GB2312" w:eastAsia="仿宋_GB2312" w:cs="仿宋_GB2312"/>
          <w:color w:val="000000"/>
          <w:kern w:val="0"/>
          <w:szCs w:val="32"/>
          <w:lang w:eastAsia="zh-CN"/>
        </w:rPr>
        <w:t>）</w:t>
      </w:r>
      <w:r>
        <w:rPr>
          <w:rFonts w:hint="eastAsia" w:ascii="仿宋_GB2312" w:hAnsi="仿宋_GB2312" w:eastAsia="仿宋_GB2312" w:cs="仿宋_GB2312"/>
          <w:color w:val="000000"/>
          <w:kern w:val="0"/>
          <w:szCs w:val="32"/>
        </w:rPr>
        <w:t>；</w:t>
      </w:r>
    </w:p>
    <w:p>
      <w:pPr>
        <w:spacing w:line="520" w:lineRule="exact"/>
        <w:ind w:firstLine="645"/>
        <w:rPr>
          <w:rFonts w:hint="eastAsia" w:ascii="仿宋_GB2312" w:hAnsi="仿宋_GB2312" w:eastAsia="仿宋_GB2312" w:cs="仿宋_GB2312"/>
          <w:color w:val="000000"/>
          <w:kern w:val="0"/>
          <w:szCs w:val="32"/>
        </w:rPr>
      </w:pPr>
      <w:r>
        <w:rPr>
          <w:rFonts w:hint="eastAsia" w:ascii="仿宋_GB2312" w:hAnsi="仿宋_GB2312" w:eastAsia="仿宋_GB2312" w:cs="仿宋_GB2312"/>
          <w:color w:val="000000"/>
          <w:kern w:val="0"/>
          <w:szCs w:val="32"/>
        </w:rPr>
        <w:t>2</w:t>
      </w:r>
      <w:r>
        <w:rPr>
          <w:rFonts w:hint="eastAsia" w:ascii="仿宋_GB2312" w:hAnsi="仿宋_GB2312" w:cs="仿宋_GB2312"/>
          <w:color w:val="000000"/>
          <w:kern w:val="0"/>
          <w:szCs w:val="32"/>
          <w:lang w:val="en-US" w:eastAsia="zh-CN"/>
        </w:rPr>
        <w:t>.</w:t>
      </w:r>
      <w:r>
        <w:rPr>
          <w:rFonts w:hint="eastAsia" w:ascii="仿宋_GB2312" w:hAnsi="仿宋_GB2312" w:eastAsia="仿宋_GB2312" w:cs="仿宋_GB2312"/>
          <w:color w:val="000000"/>
          <w:kern w:val="0"/>
          <w:szCs w:val="32"/>
        </w:rPr>
        <w:t>市知识产权中心组织专家考核；</w:t>
      </w:r>
    </w:p>
    <w:p>
      <w:pPr>
        <w:spacing w:line="520" w:lineRule="exact"/>
        <w:ind w:firstLine="645"/>
        <w:rPr>
          <w:rFonts w:hint="eastAsia" w:ascii="仿宋_GB2312" w:hAnsi="仿宋_GB2312" w:eastAsia="仿宋_GB2312" w:cs="仿宋_GB2312"/>
          <w:color w:val="000000"/>
          <w:kern w:val="0"/>
          <w:szCs w:val="32"/>
        </w:rPr>
      </w:pPr>
      <w:r>
        <w:rPr>
          <w:rFonts w:hint="eastAsia" w:ascii="仿宋_GB2312" w:hAnsi="仿宋_GB2312" w:eastAsia="仿宋_GB2312" w:cs="仿宋_GB2312"/>
          <w:color w:val="000000"/>
          <w:kern w:val="0"/>
          <w:szCs w:val="32"/>
        </w:rPr>
        <w:t>3</w:t>
      </w:r>
      <w:r>
        <w:rPr>
          <w:rFonts w:hint="eastAsia" w:ascii="仿宋_GB2312" w:hAnsi="仿宋_GB2312" w:cs="仿宋_GB2312"/>
          <w:color w:val="000000"/>
          <w:kern w:val="0"/>
          <w:szCs w:val="32"/>
          <w:lang w:val="en-US" w:eastAsia="zh-CN"/>
        </w:rPr>
        <w:t>.</w:t>
      </w:r>
      <w:r>
        <w:rPr>
          <w:rFonts w:hint="eastAsia" w:ascii="仿宋_GB2312" w:hAnsi="仿宋_GB2312" w:eastAsia="仿宋_GB2312" w:cs="仿宋_GB2312"/>
          <w:color w:val="000000"/>
          <w:kern w:val="0"/>
          <w:szCs w:val="32"/>
        </w:rPr>
        <w:t>考核结果上报省局（结果分为：优秀、一般、较差）。</w:t>
      </w:r>
    </w:p>
    <w:p>
      <w:pPr>
        <w:spacing w:line="520" w:lineRule="exact"/>
        <w:ind w:firstLine="645"/>
        <w:rPr>
          <w:rFonts w:hint="eastAsia" w:ascii="仿宋_GB2312" w:hAnsi="仿宋_GB2312" w:eastAsia="仿宋_GB2312" w:cs="仿宋_GB2312"/>
          <w:b/>
          <w:color w:val="000000"/>
          <w:kern w:val="0"/>
          <w:szCs w:val="32"/>
        </w:rPr>
      </w:pPr>
      <w:r>
        <w:rPr>
          <w:rFonts w:hint="eastAsia" w:ascii="仿宋_GB2312" w:hAnsi="仿宋_GB2312" w:eastAsia="仿宋_GB2312" w:cs="仿宋_GB2312"/>
          <w:b/>
          <w:color w:val="000000"/>
          <w:kern w:val="0"/>
          <w:szCs w:val="32"/>
        </w:rPr>
        <w:t>（四）考核材料</w:t>
      </w:r>
    </w:p>
    <w:p>
      <w:pPr>
        <w:spacing w:line="600" w:lineRule="exact"/>
        <w:ind w:firstLine="632" w:firstLineChars="200"/>
        <w:rPr>
          <w:rFonts w:hint="eastAsia" w:ascii="仿宋_GB2312" w:hAnsi="仿宋_GB2312" w:eastAsia="仿宋_GB2312" w:cs="仿宋_GB2312"/>
          <w:color w:val="000000"/>
          <w:kern w:val="0"/>
          <w:szCs w:val="32"/>
        </w:rPr>
      </w:pPr>
      <w:r>
        <w:rPr>
          <w:rFonts w:hint="eastAsia" w:ascii="仿宋_GB2312" w:hAnsi="仿宋_GB2312" w:eastAsia="仿宋_GB2312" w:cs="仿宋_GB2312"/>
          <w:szCs w:val="32"/>
        </w:rPr>
        <w:t>考核材料一式</w:t>
      </w:r>
      <w:r>
        <w:rPr>
          <w:rFonts w:hint="eastAsia" w:ascii="仿宋_GB2312" w:hAnsi="仿宋_GB2312" w:cs="仿宋_GB2312"/>
          <w:szCs w:val="32"/>
          <w:lang w:eastAsia="zh-CN"/>
        </w:rPr>
        <w:t>叁</w:t>
      </w:r>
      <w:r>
        <w:rPr>
          <w:rFonts w:hint="eastAsia" w:ascii="仿宋_GB2312" w:hAnsi="仿宋_GB2312" w:eastAsia="仿宋_GB2312" w:cs="仿宋_GB2312"/>
          <w:szCs w:val="32"/>
        </w:rPr>
        <w:t>份于</w:t>
      </w:r>
      <w:r>
        <w:rPr>
          <w:rFonts w:hint="eastAsia" w:ascii="仿宋_GB2312" w:hAnsi="仿宋_GB2312" w:cs="仿宋_GB2312"/>
          <w:szCs w:val="32"/>
          <w:lang w:val="en-US" w:eastAsia="zh-CN"/>
        </w:rPr>
        <w:t>11</w:t>
      </w:r>
      <w:r>
        <w:rPr>
          <w:rFonts w:hint="eastAsia" w:ascii="仿宋_GB2312" w:hAnsi="仿宋_GB2312" w:eastAsia="仿宋_GB2312" w:cs="仿宋_GB2312"/>
          <w:szCs w:val="32"/>
        </w:rPr>
        <w:t>月</w:t>
      </w:r>
      <w:r>
        <w:rPr>
          <w:rFonts w:hint="eastAsia" w:ascii="仿宋_GB2312" w:hAnsi="仿宋_GB2312" w:cs="仿宋_GB2312"/>
          <w:szCs w:val="32"/>
          <w:lang w:val="en-US" w:eastAsia="zh-CN"/>
        </w:rPr>
        <w:t>2</w:t>
      </w:r>
      <w:r>
        <w:rPr>
          <w:rFonts w:hint="eastAsia" w:ascii="仿宋_GB2312" w:hAnsi="仿宋_GB2312" w:eastAsia="仿宋_GB2312" w:cs="仿宋_GB2312"/>
          <w:szCs w:val="32"/>
        </w:rPr>
        <w:t>日前报</w:t>
      </w:r>
      <w:r>
        <w:rPr>
          <w:rFonts w:hint="eastAsia" w:ascii="仿宋_GB2312" w:hAnsi="仿宋_GB2312" w:eastAsia="仿宋_GB2312" w:cs="仿宋_GB2312"/>
          <w:color w:val="000000"/>
          <w:kern w:val="0"/>
          <w:szCs w:val="32"/>
        </w:rPr>
        <w:t>送“知创福建”福建省知识产权公共服务平台</w:t>
      </w:r>
      <w:r>
        <w:rPr>
          <w:rFonts w:hint="eastAsia" w:ascii="仿宋_GB2312" w:hAnsi="仿宋_GB2312" w:eastAsia="仿宋_GB2312" w:cs="仿宋_GB2312"/>
          <w:color w:val="000000"/>
          <w:kern w:val="0"/>
          <w:szCs w:val="32"/>
          <w:lang w:eastAsia="zh-CN"/>
        </w:rPr>
        <w:t>（地址：福州市鼓楼区软件园b区11号楼一层）</w:t>
      </w:r>
      <w:r>
        <w:rPr>
          <w:rFonts w:hint="eastAsia" w:ascii="仿宋_GB2312" w:hAnsi="仿宋_GB2312" w:eastAsia="仿宋_GB2312" w:cs="仿宋_GB2312"/>
          <w:color w:val="000000"/>
          <w:kern w:val="0"/>
          <w:szCs w:val="32"/>
        </w:rPr>
        <w:t>。</w:t>
      </w:r>
    </w:p>
    <w:p>
      <w:pPr>
        <w:spacing w:line="660" w:lineRule="exact"/>
        <w:ind w:firstLine="632" w:firstLineChars="200"/>
        <w:jc w:val="left"/>
        <w:rPr>
          <w:rFonts w:hint="eastAsia" w:ascii="仿宋_GB2312" w:hAnsi="仿宋_GB2312" w:eastAsia="仿宋_GB2312" w:cs="仿宋_GB2312"/>
          <w:bCs/>
          <w:szCs w:val="32"/>
        </w:rPr>
      </w:pPr>
      <w:r>
        <w:rPr>
          <w:rFonts w:hint="eastAsia" w:ascii="仿宋_GB2312" w:hAnsi="仿宋_GB2312" w:eastAsia="仿宋_GB2312" w:cs="仿宋_GB2312"/>
          <w:szCs w:val="32"/>
        </w:rPr>
        <w:t>1</w:t>
      </w:r>
      <w:r>
        <w:rPr>
          <w:rFonts w:hint="eastAsia" w:ascii="仿宋_GB2312" w:hAnsi="仿宋_GB2312" w:cs="仿宋_GB2312"/>
          <w:szCs w:val="32"/>
          <w:lang w:val="en-US" w:eastAsia="zh-CN"/>
        </w:rPr>
        <w:t>.</w:t>
      </w:r>
      <w:r>
        <w:rPr>
          <w:rFonts w:hint="eastAsia" w:ascii="仿宋_GB2312" w:hAnsi="仿宋_GB2312" w:eastAsia="仿宋_GB2312" w:cs="仿宋_GB2312"/>
          <w:szCs w:val="32"/>
        </w:rPr>
        <w:t>按照《国家知识产权局办公室关于组织开展2019年度国家知识产权示范企业和优势企业考核复核申报工作的通知》（国知办函运字</w:t>
      </w:r>
      <w:r>
        <w:rPr>
          <w:rFonts w:hint="eastAsia" w:ascii="仿宋_GB2312" w:hAnsi="仿宋_GB2312" w:eastAsia="仿宋_GB2312" w:cs="仿宋_GB2312"/>
          <w:bCs/>
          <w:szCs w:val="32"/>
        </w:rPr>
        <w:t>〔2019〕604号）考核材料提供</w:t>
      </w:r>
      <w:r>
        <w:rPr>
          <w:rFonts w:hint="eastAsia" w:ascii="仿宋_GB2312" w:hAnsi="仿宋_GB2312" w:cs="仿宋_GB2312"/>
          <w:bCs/>
          <w:szCs w:val="32"/>
          <w:lang w:eastAsia="zh-CN"/>
        </w:rPr>
        <w:t>，包括：</w:t>
      </w:r>
      <w:r>
        <w:rPr>
          <w:rFonts w:hint="eastAsia" w:ascii="仿宋_GB2312" w:hAnsi="仿宋_GB2312" w:eastAsia="仿宋_GB2312" w:cs="仿宋_GB2312"/>
          <w:szCs w:val="32"/>
        </w:rPr>
        <w:t>2019年度国家知识产权示范企业和优势企业年度考核信息表</w:t>
      </w:r>
      <w:r>
        <w:rPr>
          <w:rFonts w:hint="eastAsia" w:ascii="仿宋_GB2312" w:hAnsi="仿宋_GB2312" w:eastAsia="仿宋_GB2312" w:cs="仿宋_GB2312"/>
          <w:szCs w:val="32"/>
          <w:lang w:eastAsia="zh-CN"/>
        </w:rPr>
        <w:t>（附件</w:t>
      </w:r>
      <w:r>
        <w:rPr>
          <w:rFonts w:hint="eastAsia" w:ascii="仿宋_GB2312" w:hAnsi="仿宋_GB2312" w:eastAsia="仿宋_GB2312" w:cs="仿宋_GB2312"/>
          <w:szCs w:val="32"/>
          <w:lang w:val="en-US" w:eastAsia="zh-CN"/>
        </w:rPr>
        <w:t>4</w:t>
      </w:r>
      <w:r>
        <w:rPr>
          <w:rFonts w:hint="eastAsia" w:ascii="仿宋_GB2312" w:hAnsi="仿宋_GB2312" w:eastAsia="仿宋_GB2312" w:cs="仿宋_GB2312"/>
          <w:szCs w:val="32"/>
          <w:lang w:eastAsia="zh-CN"/>
        </w:rPr>
        <w:t>）以及相关佐证材料，</w:t>
      </w:r>
      <w:r>
        <w:rPr>
          <w:rFonts w:hint="eastAsia" w:ascii="仿宋_GB2312" w:hAnsi="仿宋_GB2312" w:eastAsia="仿宋_GB2312" w:cs="仿宋_GB2312"/>
          <w:color w:val="000000"/>
          <w:kern w:val="0"/>
          <w:sz w:val="32"/>
          <w:szCs w:val="32"/>
          <w:shd w:val="clear" w:color="auto" w:fill="FFFFFF"/>
          <w:lang w:val="en-US" w:eastAsia="zh-CN" w:bidi="ar"/>
        </w:rPr>
        <w:t>2017年前（含2017年）确认的</w:t>
      </w:r>
      <w:r>
        <w:rPr>
          <w:rFonts w:hint="eastAsia" w:ascii="仿宋_GB2312" w:hAnsi="仿宋_GB2312" w:eastAsia="仿宋_GB2312" w:cs="仿宋_GB2312"/>
          <w:color w:val="000000"/>
          <w:kern w:val="0"/>
          <w:sz w:val="32"/>
          <w:szCs w:val="32"/>
          <w:shd w:val="clear" w:color="auto" w:fill="FFFFFF"/>
          <w:lang w:eastAsia="zh-CN" w:bidi="ar"/>
        </w:rPr>
        <w:t>示范优势企业，同时上报典型案例情况</w:t>
      </w:r>
      <w:r>
        <w:rPr>
          <w:rFonts w:hint="eastAsia" w:ascii="仿宋_GB2312" w:hAnsi="仿宋_GB2312" w:eastAsia="仿宋_GB2312" w:cs="仿宋_GB2312"/>
          <w:color w:val="000000"/>
          <w:kern w:val="0"/>
          <w:sz w:val="32"/>
          <w:szCs w:val="32"/>
          <w:shd w:val="clear" w:color="auto" w:fill="FFFFFF"/>
          <w:lang w:val="en-US" w:eastAsia="zh-CN" w:bidi="ar"/>
        </w:rPr>
        <w:t>；2018-2019年确认的</w:t>
      </w:r>
      <w:r>
        <w:rPr>
          <w:rFonts w:hint="eastAsia" w:ascii="仿宋_GB2312" w:hAnsi="仿宋_GB2312" w:eastAsia="仿宋_GB2312" w:cs="仿宋_GB2312"/>
          <w:color w:val="000000"/>
          <w:kern w:val="0"/>
          <w:sz w:val="32"/>
          <w:szCs w:val="32"/>
          <w:shd w:val="clear" w:color="auto" w:fill="FFFFFF"/>
          <w:lang w:eastAsia="zh-CN" w:bidi="ar"/>
        </w:rPr>
        <w:t>国家知识产权示范和优势企业，同时上报示范</w:t>
      </w:r>
      <w:r>
        <w:rPr>
          <w:rFonts w:hint="eastAsia" w:ascii="仿宋_GB2312" w:hAnsi="仿宋_GB2312" w:cs="仿宋_GB2312"/>
          <w:color w:val="000000"/>
          <w:kern w:val="0"/>
          <w:sz w:val="32"/>
          <w:szCs w:val="32"/>
          <w:shd w:val="clear" w:color="auto" w:fill="FFFFFF"/>
          <w:lang w:eastAsia="zh-CN" w:bidi="ar"/>
        </w:rPr>
        <w:t>示范（</w:t>
      </w:r>
      <w:r>
        <w:rPr>
          <w:rFonts w:hint="eastAsia" w:ascii="仿宋_GB2312" w:hAnsi="仿宋_GB2312" w:eastAsia="仿宋_GB2312" w:cs="仿宋_GB2312"/>
          <w:color w:val="000000"/>
          <w:kern w:val="0"/>
          <w:sz w:val="32"/>
          <w:szCs w:val="32"/>
          <w:shd w:val="clear" w:color="auto" w:fill="FFFFFF"/>
          <w:lang w:eastAsia="zh-CN" w:bidi="ar"/>
        </w:rPr>
        <w:t>优势</w:t>
      </w:r>
      <w:r>
        <w:rPr>
          <w:rFonts w:hint="eastAsia" w:ascii="仿宋_GB2312" w:hAnsi="仿宋_GB2312" w:cs="仿宋_GB2312"/>
          <w:color w:val="000000"/>
          <w:kern w:val="0"/>
          <w:sz w:val="32"/>
          <w:szCs w:val="32"/>
          <w:shd w:val="clear" w:color="auto" w:fill="FFFFFF"/>
          <w:lang w:eastAsia="zh-CN" w:bidi="ar"/>
        </w:rPr>
        <w:t>）</w:t>
      </w:r>
      <w:r>
        <w:rPr>
          <w:rFonts w:hint="eastAsia" w:ascii="仿宋_GB2312" w:hAnsi="仿宋_GB2312" w:eastAsia="仿宋_GB2312" w:cs="仿宋_GB2312"/>
          <w:color w:val="000000"/>
          <w:kern w:val="0"/>
          <w:sz w:val="32"/>
          <w:szCs w:val="32"/>
          <w:shd w:val="clear" w:color="auto" w:fill="FFFFFF"/>
          <w:lang w:eastAsia="zh-CN" w:bidi="ar"/>
        </w:rPr>
        <w:t>企业建设工作方案出台及落实情况</w:t>
      </w:r>
      <w:r>
        <w:rPr>
          <w:rFonts w:hint="eastAsia" w:ascii="仿宋_GB2312" w:hAnsi="仿宋_GB2312" w:eastAsia="仿宋_GB2312" w:cs="仿宋_GB2312"/>
          <w:bCs/>
          <w:szCs w:val="32"/>
        </w:rPr>
        <w:t>。</w:t>
      </w:r>
    </w:p>
    <w:p>
      <w:pPr>
        <w:spacing w:line="600" w:lineRule="exact"/>
        <w:ind w:firstLine="632"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2</w:t>
      </w:r>
      <w:r>
        <w:rPr>
          <w:rFonts w:hint="eastAsia" w:ascii="仿宋_GB2312" w:hAnsi="仿宋_GB2312" w:cs="仿宋_GB2312"/>
          <w:szCs w:val="32"/>
          <w:lang w:val="en-US" w:eastAsia="zh-CN"/>
        </w:rPr>
        <w:t>.</w:t>
      </w:r>
      <w:r>
        <w:rPr>
          <w:rFonts w:hint="eastAsia" w:ascii="仿宋_GB2312" w:hAnsi="仿宋_GB2312" w:eastAsia="仿宋_GB2312" w:cs="仿宋_GB2312"/>
          <w:szCs w:val="32"/>
        </w:rPr>
        <w:t>以下佐证材料另行装订</w:t>
      </w:r>
      <w:r>
        <w:rPr>
          <w:rFonts w:hint="eastAsia" w:ascii="仿宋_GB2312" w:hAnsi="仿宋_GB2312" w:cs="仿宋_GB2312"/>
          <w:szCs w:val="32"/>
          <w:lang w:eastAsia="zh-CN"/>
        </w:rPr>
        <w:t>，一式叁份</w:t>
      </w:r>
      <w:r>
        <w:rPr>
          <w:rFonts w:hint="eastAsia" w:ascii="仿宋_GB2312" w:hAnsi="仿宋_GB2312" w:eastAsia="仿宋_GB2312" w:cs="仿宋_GB2312"/>
          <w:szCs w:val="32"/>
        </w:rPr>
        <w:t>：</w:t>
      </w:r>
    </w:p>
    <w:p>
      <w:pPr>
        <w:spacing w:line="600" w:lineRule="exact"/>
        <w:ind w:firstLine="632"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（1）专利申请与授权汇总表；</w:t>
      </w:r>
    </w:p>
    <w:p>
      <w:pPr>
        <w:spacing w:line="600" w:lineRule="exact"/>
        <w:ind w:firstLine="632"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（2）</w:t>
      </w:r>
      <w:r>
        <w:rPr>
          <w:rFonts w:hint="eastAsia" w:ascii="仿宋_GB2312" w:hAnsi="仿宋_GB2312" w:eastAsia="仿宋_GB2312" w:cs="仿宋_GB2312"/>
          <w:szCs w:val="32"/>
          <w:lang w:val="en-US" w:eastAsia="zh-CN"/>
        </w:rPr>
        <w:t>2019</w:t>
      </w:r>
      <w:r>
        <w:rPr>
          <w:rFonts w:hint="eastAsia" w:ascii="仿宋_GB2312" w:hAnsi="仿宋_GB2312" w:eastAsia="仿宋_GB2312" w:cs="仿宋_GB2312"/>
          <w:szCs w:val="32"/>
        </w:rPr>
        <w:t>年知识产权收益情况。知识产权收益分三类（考核取最高值）：A.知识产权许可、转让收益；B.知识产权融资；C.知识产权作价注册资本。</w:t>
      </w:r>
    </w:p>
    <w:p>
      <w:pPr>
        <w:numPr>
          <w:ilvl w:val="0"/>
          <w:numId w:val="2"/>
        </w:numPr>
        <w:spacing w:line="600" w:lineRule="exact"/>
        <w:ind w:firstLine="632"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贯彻《企业知识产权管理规范》情况：获得“贯标”认证证书或确定为“贯标”培育企业名单。</w:t>
      </w:r>
    </w:p>
    <w:p>
      <w:pPr>
        <w:numPr>
          <w:ilvl w:val="0"/>
          <w:numId w:val="2"/>
        </w:numPr>
        <w:spacing w:line="600" w:lineRule="exact"/>
        <w:ind w:firstLine="632" w:firstLineChars="200"/>
        <w:rPr>
          <w:rFonts w:hint="eastAsia" w:ascii="仿宋_GB2312" w:hAnsi="仿宋_GB2312" w:eastAsia="仿宋_GB2312" w:cs="仿宋_GB2312"/>
          <w:szCs w:val="32"/>
        </w:rPr>
      </w:pPr>
      <w:r>
        <w:rPr>
          <w:rFonts w:hint="eastAsia" w:ascii="仿宋_GB2312" w:hAnsi="仿宋_GB2312" w:eastAsia="仿宋_GB2312" w:cs="仿宋_GB2312"/>
          <w:color w:val="000000"/>
          <w:kern w:val="0"/>
          <w:sz w:val="32"/>
          <w:szCs w:val="32"/>
          <w:shd w:val="clear" w:color="auto" w:fill="FFFFFF"/>
          <w:lang w:val="en-US" w:eastAsia="zh-CN" w:bidi="ar"/>
        </w:rPr>
        <w:t>2017年前（含2017年）确认的</w:t>
      </w:r>
      <w:r>
        <w:rPr>
          <w:rFonts w:hint="eastAsia" w:ascii="仿宋_GB2312" w:hAnsi="仿宋_GB2312" w:eastAsia="仿宋_GB2312" w:cs="仿宋_GB2312"/>
          <w:color w:val="000000"/>
          <w:kern w:val="0"/>
          <w:sz w:val="32"/>
          <w:szCs w:val="32"/>
          <w:shd w:val="clear" w:color="auto" w:fill="FFFFFF"/>
          <w:lang w:eastAsia="zh-CN" w:bidi="ar"/>
        </w:rPr>
        <w:t>示范优势企业</w:t>
      </w:r>
      <w:r>
        <w:rPr>
          <w:rFonts w:hint="eastAsia" w:ascii="仿宋_GB2312" w:hAnsi="仿宋_GB2312" w:cs="仿宋_GB2312"/>
          <w:color w:val="000000"/>
          <w:kern w:val="0"/>
          <w:sz w:val="32"/>
          <w:szCs w:val="32"/>
          <w:shd w:val="clear" w:color="auto" w:fill="FFFFFF"/>
          <w:lang w:eastAsia="zh-CN" w:bidi="ar"/>
        </w:rPr>
        <w:t>提供</w:t>
      </w:r>
      <w:r>
        <w:rPr>
          <w:rFonts w:hint="eastAsia" w:ascii="仿宋_GB2312" w:hAnsi="仿宋_GB2312" w:eastAsia="仿宋_GB2312" w:cs="仿宋_GB2312"/>
          <w:color w:val="000000"/>
          <w:kern w:val="0"/>
          <w:sz w:val="32"/>
          <w:szCs w:val="32"/>
          <w:shd w:val="clear" w:color="auto" w:fill="FFFFFF"/>
          <w:lang w:eastAsia="zh-CN" w:bidi="ar"/>
        </w:rPr>
        <w:t>典型案例情况</w:t>
      </w:r>
      <w:r>
        <w:rPr>
          <w:rFonts w:hint="eastAsia" w:ascii="仿宋_GB2312" w:hAnsi="仿宋_GB2312" w:eastAsia="仿宋_GB2312" w:cs="仿宋_GB2312"/>
          <w:color w:val="000000"/>
          <w:kern w:val="0"/>
          <w:sz w:val="32"/>
          <w:szCs w:val="32"/>
          <w:shd w:val="clear" w:color="auto" w:fill="FFFFFF"/>
          <w:lang w:val="en-US" w:eastAsia="zh-CN" w:bidi="ar"/>
        </w:rPr>
        <w:t>；2018-2019年确认的</w:t>
      </w:r>
      <w:r>
        <w:rPr>
          <w:rFonts w:hint="eastAsia" w:ascii="仿宋_GB2312" w:hAnsi="仿宋_GB2312" w:eastAsia="仿宋_GB2312" w:cs="仿宋_GB2312"/>
          <w:color w:val="000000"/>
          <w:kern w:val="0"/>
          <w:sz w:val="32"/>
          <w:szCs w:val="32"/>
          <w:shd w:val="clear" w:color="auto" w:fill="FFFFFF"/>
          <w:lang w:eastAsia="zh-CN" w:bidi="ar"/>
        </w:rPr>
        <w:t>国家知识产权示范和优势企业，</w:t>
      </w:r>
      <w:r>
        <w:rPr>
          <w:rFonts w:hint="eastAsia" w:ascii="仿宋_GB2312" w:hAnsi="仿宋_GB2312" w:cs="仿宋_GB2312"/>
          <w:color w:val="000000"/>
          <w:kern w:val="0"/>
          <w:sz w:val="32"/>
          <w:szCs w:val="32"/>
          <w:shd w:val="clear" w:color="auto" w:fill="FFFFFF"/>
          <w:lang w:eastAsia="zh-CN" w:bidi="ar"/>
        </w:rPr>
        <w:t>提供</w:t>
      </w:r>
      <w:r>
        <w:rPr>
          <w:rFonts w:hint="eastAsia" w:ascii="仿宋_GB2312" w:hAnsi="仿宋_GB2312" w:eastAsia="仿宋_GB2312" w:cs="仿宋_GB2312"/>
          <w:color w:val="000000"/>
          <w:kern w:val="0"/>
          <w:sz w:val="32"/>
          <w:szCs w:val="32"/>
          <w:shd w:val="clear" w:color="auto" w:fill="FFFFFF"/>
          <w:lang w:eastAsia="zh-CN" w:bidi="ar"/>
        </w:rPr>
        <w:t>范</w:t>
      </w:r>
      <w:r>
        <w:rPr>
          <w:rFonts w:hint="eastAsia" w:ascii="仿宋_GB2312" w:hAnsi="仿宋_GB2312" w:cs="仿宋_GB2312"/>
          <w:color w:val="000000"/>
          <w:kern w:val="0"/>
          <w:sz w:val="32"/>
          <w:szCs w:val="32"/>
          <w:shd w:val="clear" w:color="auto" w:fill="FFFFFF"/>
          <w:lang w:eastAsia="zh-CN" w:bidi="ar"/>
        </w:rPr>
        <w:t>示范（</w:t>
      </w:r>
      <w:r>
        <w:rPr>
          <w:rFonts w:hint="eastAsia" w:ascii="仿宋_GB2312" w:hAnsi="仿宋_GB2312" w:eastAsia="仿宋_GB2312" w:cs="仿宋_GB2312"/>
          <w:color w:val="000000"/>
          <w:kern w:val="0"/>
          <w:sz w:val="32"/>
          <w:szCs w:val="32"/>
          <w:shd w:val="clear" w:color="auto" w:fill="FFFFFF"/>
          <w:lang w:eastAsia="zh-CN" w:bidi="ar"/>
        </w:rPr>
        <w:t>优势</w:t>
      </w:r>
      <w:r>
        <w:rPr>
          <w:rFonts w:hint="eastAsia" w:ascii="仿宋_GB2312" w:hAnsi="仿宋_GB2312" w:cs="仿宋_GB2312"/>
          <w:color w:val="000000"/>
          <w:kern w:val="0"/>
          <w:sz w:val="32"/>
          <w:szCs w:val="32"/>
          <w:shd w:val="clear" w:color="auto" w:fill="FFFFFF"/>
          <w:lang w:eastAsia="zh-CN" w:bidi="ar"/>
        </w:rPr>
        <w:t>）</w:t>
      </w:r>
      <w:r>
        <w:rPr>
          <w:rFonts w:hint="eastAsia" w:ascii="仿宋_GB2312" w:hAnsi="仿宋_GB2312" w:eastAsia="仿宋_GB2312" w:cs="仿宋_GB2312"/>
          <w:color w:val="000000"/>
          <w:kern w:val="0"/>
          <w:sz w:val="32"/>
          <w:szCs w:val="32"/>
          <w:shd w:val="clear" w:color="auto" w:fill="FFFFFF"/>
          <w:lang w:eastAsia="zh-CN" w:bidi="ar"/>
        </w:rPr>
        <w:t>企业建设工作方案出台及落实情况</w:t>
      </w:r>
      <w:r>
        <w:rPr>
          <w:rFonts w:hint="eastAsia" w:ascii="仿宋_GB2312" w:hAnsi="仿宋_GB2312" w:eastAsia="仿宋_GB2312" w:cs="仿宋_GB2312"/>
          <w:bCs/>
          <w:szCs w:val="32"/>
        </w:rPr>
        <w:t>。</w:t>
      </w:r>
    </w:p>
    <w:p>
      <w:pPr>
        <w:keepNext w:val="0"/>
        <w:keepLines w:val="0"/>
        <w:pageBreakBefore w:val="0"/>
        <w:widowControl/>
        <w:shd w:val="clear" w:color="auto" w:fill="FFFFFF"/>
        <w:kinsoku/>
        <w:wordWrap/>
        <w:overflowPunct/>
        <w:topLinePunct w:val="0"/>
        <w:autoSpaceDE/>
        <w:autoSpaceDN/>
        <w:bidi w:val="0"/>
        <w:adjustRightInd/>
        <w:snapToGrid w:val="0"/>
        <w:spacing w:line="360" w:lineRule="auto"/>
        <w:ind w:left="0" w:leftChars="0" w:right="0" w:rightChars="0" w:firstLine="632" w:firstLineChars="200"/>
        <w:jc w:val="both"/>
        <w:textAlignment w:val="auto"/>
        <w:outlineLvl w:val="9"/>
        <w:rPr>
          <w:rFonts w:hint="eastAsia" w:ascii="黑体" w:hAnsi="黑体" w:eastAsia="黑体" w:cs="黑体"/>
          <w:b w:val="0"/>
          <w:bCs/>
          <w:color w:val="000000"/>
          <w:kern w:val="0"/>
          <w:sz w:val="32"/>
          <w:szCs w:val="32"/>
          <w:shd w:val="clear" w:color="auto" w:fill="FFFFFF"/>
          <w:lang w:val="en-US" w:eastAsia="zh-CN" w:bidi="ar"/>
        </w:rPr>
      </w:pPr>
      <w:r>
        <w:rPr>
          <w:rFonts w:hint="eastAsia" w:ascii="黑体" w:hAnsi="黑体" w:eastAsia="黑体" w:cs="黑体"/>
          <w:b w:val="0"/>
          <w:bCs/>
          <w:color w:val="000000"/>
          <w:kern w:val="0"/>
          <w:sz w:val="32"/>
          <w:szCs w:val="32"/>
          <w:shd w:val="clear" w:color="auto" w:fill="FFFFFF"/>
          <w:lang w:val="en-US" w:eastAsia="zh-CN" w:bidi="ar"/>
        </w:rPr>
        <w:t>三、其他事项</w:t>
      </w:r>
    </w:p>
    <w:p>
      <w:pPr>
        <w:keepNext w:val="0"/>
        <w:keepLines w:val="0"/>
        <w:pageBreakBefore w:val="0"/>
        <w:widowControl w:val="0"/>
        <w:kinsoku/>
        <w:wordWrap/>
        <w:overflowPunct/>
        <w:topLinePunct w:val="0"/>
        <w:autoSpaceDE/>
        <w:autoSpaceDN/>
        <w:bidi w:val="0"/>
        <w:spacing w:line="560" w:lineRule="exact"/>
        <w:ind w:left="0" w:leftChars="0" w:right="0" w:rightChars="0" w:firstLine="632" w:firstLineChars="200"/>
        <w:jc w:val="both"/>
        <w:textAlignment w:val="auto"/>
        <w:outlineLvl w:val="9"/>
        <w:rPr>
          <w:rFonts w:hint="eastAsia" w:ascii="仿宋_GB2312" w:hAnsi="仿宋_GB2312" w:eastAsia="仿宋_GB2312" w:cs="仿宋_GB2312"/>
          <w:szCs w:val="32"/>
        </w:rPr>
      </w:pPr>
      <w:r>
        <w:rPr>
          <w:rFonts w:hint="eastAsia" w:ascii="仿宋_GB2312" w:hAnsi="仿宋_GB2312" w:eastAsia="仿宋_GB2312" w:cs="仿宋_GB2312"/>
          <w:color w:val="333333"/>
          <w:sz w:val="32"/>
          <w:szCs w:val="32"/>
          <w:lang w:val="en-US" w:eastAsia="zh-CN" w:bidi="ar"/>
        </w:rPr>
        <w:t>市局</w:t>
      </w:r>
      <w:r>
        <w:rPr>
          <w:rFonts w:hint="eastAsia" w:ascii="仿宋_GB2312" w:hAnsi="仿宋_GB2312" w:eastAsia="仿宋_GB2312" w:cs="仿宋_GB2312"/>
          <w:color w:val="333333"/>
          <w:sz w:val="32"/>
          <w:szCs w:val="32"/>
          <w:lang w:eastAsia="zh-CN" w:bidi="ar"/>
        </w:rPr>
        <w:t>委托省市共建单位“知创福建”知识产权公共服务平台承</w:t>
      </w:r>
      <w:r>
        <w:rPr>
          <w:rFonts w:hint="eastAsia" w:ascii="仿宋_GB2312" w:hAnsi="仿宋_GB2312" w:cs="仿宋_GB2312"/>
          <w:color w:val="333333"/>
          <w:sz w:val="32"/>
          <w:szCs w:val="32"/>
          <w:lang w:eastAsia="zh-CN" w:bidi="ar"/>
        </w:rPr>
        <w:t>办相关考核</w:t>
      </w:r>
      <w:r>
        <w:rPr>
          <w:rFonts w:hint="eastAsia" w:ascii="仿宋_GB2312" w:hAnsi="仿宋_GB2312" w:eastAsia="仿宋_GB2312" w:cs="仿宋_GB2312"/>
          <w:color w:val="333333"/>
          <w:sz w:val="32"/>
          <w:szCs w:val="32"/>
          <w:lang w:eastAsia="zh-CN" w:bidi="ar"/>
        </w:rPr>
        <w:t>工作。</w:t>
      </w:r>
    </w:p>
    <w:p>
      <w:pPr>
        <w:keepNext w:val="0"/>
        <w:keepLines w:val="0"/>
        <w:pageBreakBefore w:val="0"/>
        <w:widowControl/>
        <w:numPr>
          <w:ilvl w:val="0"/>
          <w:numId w:val="0"/>
        </w:numPr>
        <w:shd w:val="clear" w:color="auto" w:fill="FFFFFF"/>
        <w:kinsoku/>
        <w:wordWrap/>
        <w:overflowPunct/>
        <w:topLinePunct w:val="0"/>
        <w:autoSpaceDE/>
        <w:autoSpaceDN/>
        <w:bidi w:val="0"/>
        <w:adjustRightInd/>
        <w:snapToGrid w:val="0"/>
        <w:spacing w:line="360" w:lineRule="auto"/>
        <w:ind w:right="0" w:rightChars="0"/>
        <w:jc w:val="both"/>
        <w:textAlignment w:val="auto"/>
        <w:outlineLvl w:val="9"/>
        <w:rPr>
          <w:rFonts w:hint="eastAsia" w:ascii="仿宋_GB2312" w:hAnsi="仿宋_GB2312" w:eastAsia="仿宋_GB2312" w:cs="仿宋_GB2312"/>
          <w:b/>
          <w:color w:val="000000"/>
          <w:kern w:val="0"/>
          <w:sz w:val="32"/>
          <w:szCs w:val="32"/>
          <w:shd w:val="clear" w:color="auto" w:fill="FFFFFF"/>
          <w:lang w:bidi="ar"/>
        </w:rPr>
      </w:pPr>
    </w:p>
    <w:p>
      <w:pPr>
        <w:spacing w:line="560" w:lineRule="exact"/>
        <w:ind w:left="1580" w:leftChars="200" w:hanging="948" w:hangingChars="300"/>
        <w:rPr>
          <w:rFonts w:hint="eastAsia" w:ascii="仿宋_GB2312" w:hAnsi="仿宋_GB2312" w:eastAsia="仿宋_GB2312" w:cs="仿宋_GB2312"/>
          <w:bCs/>
          <w:szCs w:val="32"/>
        </w:rPr>
      </w:pPr>
      <w:r>
        <w:rPr>
          <w:rFonts w:hint="eastAsia" w:ascii="仿宋_GB2312" w:hAnsi="仿宋_GB2312" w:eastAsia="仿宋_GB2312" w:cs="仿宋_GB2312"/>
          <w:szCs w:val="32"/>
        </w:rPr>
        <w:t>附件：1</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福建省省知识产权局</w:t>
      </w:r>
      <w:r>
        <w:rPr>
          <w:rFonts w:hint="eastAsia" w:ascii="仿宋_GB2312" w:hAnsi="仿宋_GB2312" w:eastAsia="仿宋_GB2312" w:cs="仿宋_GB2312"/>
          <w:szCs w:val="32"/>
        </w:rPr>
        <w:t>《关于组织开展国家知识产权示范企业和优势企业</w:t>
      </w:r>
      <w:r>
        <w:rPr>
          <w:rFonts w:hint="eastAsia" w:ascii="仿宋_GB2312" w:hAnsi="仿宋_GB2312" w:eastAsia="仿宋_GB2312" w:cs="仿宋_GB2312"/>
          <w:szCs w:val="32"/>
          <w:lang w:eastAsia="zh-CN"/>
        </w:rPr>
        <w:t>典型案例征集遴选和年度考</w:t>
      </w:r>
      <w:r>
        <w:rPr>
          <w:rFonts w:hint="eastAsia" w:ascii="仿宋_GB2312" w:hAnsi="仿宋_GB2312" w:eastAsia="仿宋_GB2312" w:cs="仿宋_GB2312"/>
          <w:szCs w:val="32"/>
        </w:rPr>
        <w:t>核工作的通知》</w:t>
      </w:r>
    </w:p>
    <w:p>
      <w:pPr>
        <w:numPr>
          <w:ilvl w:val="0"/>
          <w:numId w:val="3"/>
        </w:numPr>
        <w:spacing w:line="560" w:lineRule="exact"/>
        <w:ind w:firstLine="1580" w:firstLineChars="500"/>
        <w:rPr>
          <w:rFonts w:hint="eastAsia" w:ascii="仿宋_GB2312" w:hAnsi="仿宋_GB2312" w:eastAsia="仿宋_GB2312" w:cs="仿宋_GB2312"/>
          <w:szCs w:val="32"/>
          <w:lang w:eastAsia="zh-CN"/>
        </w:rPr>
      </w:pPr>
      <w:r>
        <w:rPr>
          <w:rFonts w:hint="eastAsia" w:ascii="仿宋_GB2312" w:hAnsi="仿宋_GB2312" w:eastAsia="仿宋_GB2312" w:cs="仿宋_GB2312"/>
          <w:bCs/>
          <w:szCs w:val="32"/>
          <w:lang w:eastAsia="zh-CN"/>
        </w:rPr>
        <w:t>福州市</w:t>
      </w:r>
      <w:r>
        <w:rPr>
          <w:rFonts w:hint="eastAsia" w:ascii="仿宋_GB2312" w:hAnsi="仿宋_GB2312" w:eastAsia="仿宋_GB2312" w:cs="仿宋_GB2312"/>
          <w:bCs/>
          <w:szCs w:val="32"/>
        </w:rPr>
        <w:t>2020年</w:t>
      </w:r>
      <w:r>
        <w:rPr>
          <w:rFonts w:hint="eastAsia" w:ascii="仿宋_GB2312" w:hAnsi="仿宋_GB2312" w:eastAsia="仿宋_GB2312" w:cs="仿宋_GB2312"/>
          <w:szCs w:val="32"/>
        </w:rPr>
        <w:t>国家知识产权示范企业和优势</w:t>
      </w:r>
      <w:r>
        <w:rPr>
          <w:rFonts w:hint="eastAsia" w:ascii="仿宋_GB2312" w:hAnsi="仿宋_GB2312" w:eastAsia="仿宋_GB2312" w:cs="仿宋_GB2312"/>
          <w:szCs w:val="32"/>
          <w:lang w:eastAsia="zh-CN"/>
        </w:rPr>
        <w:t>考核</w:t>
      </w:r>
    </w:p>
    <w:p>
      <w:pPr>
        <w:numPr>
          <w:ilvl w:val="0"/>
          <w:numId w:val="0"/>
        </w:numPr>
        <w:spacing w:line="560" w:lineRule="exact"/>
        <w:ind w:firstLine="1264" w:firstLineChars="400"/>
        <w:rPr>
          <w:rFonts w:hint="eastAsia" w:ascii="仿宋_GB2312" w:hAnsi="仿宋_GB2312" w:eastAsia="仿宋_GB2312" w:cs="仿宋_GB2312"/>
          <w:bCs/>
          <w:szCs w:val="32"/>
        </w:rPr>
      </w:pPr>
      <w:r>
        <w:rPr>
          <w:rFonts w:hint="eastAsia" w:ascii="仿宋_GB2312" w:hAnsi="仿宋_GB2312" w:eastAsia="仿宋_GB2312" w:cs="仿宋_GB2312"/>
          <w:szCs w:val="32"/>
          <w:lang w:val="en-US" w:eastAsia="zh-CN"/>
        </w:rPr>
        <w:t xml:space="preserve"> </w:t>
      </w:r>
      <w:r>
        <w:rPr>
          <w:rFonts w:hint="eastAsia" w:ascii="仿宋_GB2312" w:hAnsi="仿宋_GB2312" w:eastAsia="仿宋_GB2312" w:cs="仿宋_GB2312"/>
          <w:szCs w:val="32"/>
        </w:rPr>
        <w:t>企业</w:t>
      </w:r>
      <w:r>
        <w:rPr>
          <w:rFonts w:hint="eastAsia" w:ascii="仿宋_GB2312" w:hAnsi="仿宋_GB2312" w:eastAsia="仿宋_GB2312" w:cs="仿宋_GB2312"/>
          <w:bCs/>
          <w:szCs w:val="32"/>
        </w:rPr>
        <w:t>名单</w:t>
      </w:r>
    </w:p>
    <w:p>
      <w:pPr>
        <w:numPr>
          <w:ilvl w:val="0"/>
          <w:numId w:val="3"/>
        </w:numPr>
        <w:spacing w:line="560" w:lineRule="exact"/>
        <w:ind w:firstLine="1580" w:firstLineChars="500"/>
        <w:rPr>
          <w:rFonts w:hint="eastAsia" w:ascii="仿宋_GB2312" w:hAnsi="仿宋_GB2312" w:eastAsia="仿宋_GB2312" w:cs="仿宋_GB2312"/>
          <w:bCs/>
          <w:szCs w:val="32"/>
          <w:lang w:val="en-US" w:eastAsia="zh-CN"/>
        </w:rPr>
      </w:pPr>
      <w:r>
        <w:rPr>
          <w:rFonts w:hint="eastAsia" w:ascii="仿宋_GB2312" w:hAnsi="仿宋_GB2312" w:eastAsia="仿宋_GB2312" w:cs="仿宋_GB2312"/>
          <w:bCs/>
          <w:szCs w:val="32"/>
          <w:lang w:val="en-US" w:eastAsia="zh-CN"/>
        </w:rPr>
        <w:t>典型案例模板</w:t>
      </w:r>
    </w:p>
    <w:p>
      <w:pPr>
        <w:numPr>
          <w:ilvl w:val="0"/>
          <w:numId w:val="3"/>
        </w:numPr>
        <w:spacing w:line="560" w:lineRule="exact"/>
        <w:ind w:firstLine="1580" w:firstLineChars="500"/>
        <w:rPr>
          <w:rFonts w:hint="eastAsia" w:ascii="仿宋_GB2312" w:hAnsi="仿宋_GB2312" w:eastAsia="仿宋_GB2312" w:cs="仿宋_GB2312"/>
          <w:bCs/>
          <w:szCs w:val="32"/>
          <w:lang w:val="en-US" w:eastAsia="zh-CN"/>
        </w:rPr>
      </w:pPr>
      <w:r>
        <w:rPr>
          <w:rFonts w:hint="eastAsia" w:ascii="仿宋_GB2312" w:hAnsi="仿宋_GB2312" w:eastAsia="仿宋_GB2312" w:cs="仿宋_GB2312"/>
          <w:szCs w:val="32"/>
        </w:rPr>
        <w:t>2019年度国家知识产权示范企业和优势企业年度</w:t>
      </w:r>
      <w:r>
        <w:rPr>
          <w:rFonts w:hint="eastAsia" w:ascii="仿宋_GB2312" w:hAnsi="仿宋_GB2312" w:eastAsia="仿宋_GB2312" w:cs="仿宋_GB2312"/>
          <w:szCs w:val="32"/>
          <w:lang w:val="en-US" w:eastAsia="zh-CN"/>
        </w:rPr>
        <w:t xml:space="preserve">     </w:t>
      </w:r>
    </w:p>
    <w:p>
      <w:pPr>
        <w:numPr>
          <w:ilvl w:val="0"/>
          <w:numId w:val="0"/>
        </w:numPr>
        <w:spacing w:line="560" w:lineRule="exact"/>
        <w:ind w:firstLine="1580" w:firstLineChars="500"/>
        <w:rPr>
          <w:rFonts w:hint="eastAsia" w:ascii="仿宋_GB2312" w:hAnsi="仿宋_GB2312" w:eastAsia="仿宋_GB2312" w:cs="仿宋_GB2312"/>
          <w:bCs/>
          <w:szCs w:val="32"/>
          <w:lang w:val="en-US" w:eastAsia="zh-CN"/>
        </w:rPr>
      </w:pPr>
      <w:r>
        <w:rPr>
          <w:rFonts w:hint="eastAsia" w:ascii="仿宋_GB2312" w:hAnsi="仿宋_GB2312" w:eastAsia="仿宋_GB2312" w:cs="仿宋_GB2312"/>
          <w:szCs w:val="32"/>
        </w:rPr>
        <w:t>考核信息表</w:t>
      </w:r>
    </w:p>
    <w:p>
      <w:pPr>
        <w:spacing w:line="560" w:lineRule="exact"/>
        <w:rPr>
          <w:rFonts w:hint="eastAsia" w:ascii="仿宋_GB2312" w:hAnsi="仿宋_GB2312" w:eastAsia="仿宋_GB2312" w:cs="仿宋_GB2312"/>
          <w:szCs w:val="32"/>
        </w:rPr>
      </w:pPr>
    </w:p>
    <w:p>
      <w:pPr>
        <w:spacing w:line="560" w:lineRule="exact"/>
        <w:ind w:firstLine="632" w:firstLineChars="200"/>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联系人：</w:t>
      </w:r>
    </w:p>
    <w:p>
      <w:pPr>
        <w:numPr>
          <w:numId w:val="0"/>
        </w:numPr>
        <w:spacing w:line="560" w:lineRule="exact"/>
        <w:ind w:firstLine="632" w:firstLineChars="200"/>
        <w:rPr>
          <w:rFonts w:hint="eastAsia" w:ascii="仿宋_GB2312" w:hAnsi="仿宋_GB2312" w:eastAsia="仿宋_GB2312" w:cs="仿宋_GB2312"/>
          <w:szCs w:val="32"/>
          <w:lang w:val="en-US" w:eastAsia="zh-CN"/>
        </w:rPr>
      </w:pPr>
      <w:bookmarkStart w:id="0" w:name="_GoBack"/>
      <w:bookmarkEnd w:id="0"/>
      <w:r>
        <w:rPr>
          <w:rFonts w:hint="eastAsia" w:ascii="仿宋_GB2312" w:hAnsi="仿宋_GB2312" w:eastAsia="仿宋_GB2312" w:cs="仿宋_GB2312"/>
          <w:szCs w:val="32"/>
          <w:lang w:val="en-US" w:eastAsia="zh-CN"/>
        </w:rPr>
        <w:t>1.</w:t>
      </w:r>
      <w:r>
        <w:rPr>
          <w:rFonts w:hint="eastAsia" w:ascii="仿宋_GB2312" w:hAnsi="仿宋_GB2312" w:eastAsia="仿宋_GB2312" w:cs="仿宋_GB2312"/>
          <w:szCs w:val="32"/>
        </w:rPr>
        <w:t>“知创福建”福建省知识产权公共服务平台</w:t>
      </w:r>
      <w:r>
        <w:rPr>
          <w:rFonts w:hint="eastAsia" w:ascii="仿宋_GB2312" w:hAnsi="仿宋_GB2312" w:eastAsia="仿宋_GB2312" w:cs="仿宋_GB2312"/>
          <w:szCs w:val="32"/>
          <w:lang w:val="en-US" w:eastAsia="zh-CN"/>
        </w:rPr>
        <w:t xml:space="preserve"> 李欣</w:t>
      </w:r>
    </w:p>
    <w:p>
      <w:pPr>
        <w:numPr>
          <w:numId w:val="0"/>
        </w:numPr>
        <w:spacing w:line="560" w:lineRule="exact"/>
        <w:ind w:firstLine="632" w:firstLineChars="200"/>
        <w:rPr>
          <w:rFonts w:hint="eastAsia" w:ascii="仿宋_GB2312" w:hAnsi="仿宋_GB2312" w:eastAsia="仿宋_GB2312" w:cs="仿宋_GB2312"/>
          <w:szCs w:val="32"/>
        </w:rPr>
      </w:pPr>
      <w:r>
        <w:rPr>
          <w:rFonts w:hint="eastAsia" w:ascii="仿宋_GB2312" w:hAnsi="仿宋_GB2312" w:eastAsia="仿宋_GB2312" w:cs="仿宋_GB2312"/>
          <w:szCs w:val="32"/>
          <w:lang w:val="en-US" w:eastAsia="zh-CN"/>
        </w:rPr>
        <w:t>2</w:t>
      </w:r>
      <w:r>
        <w:rPr>
          <w:rFonts w:hint="eastAsia" w:ascii="仿宋_GB2312" w:hAnsi="仿宋_GB2312" w:cs="仿宋_GB2312"/>
          <w:szCs w:val="32"/>
          <w:lang w:val="en-US" w:eastAsia="zh-CN"/>
        </w:rPr>
        <w:t>.</w:t>
      </w:r>
      <w:r>
        <w:rPr>
          <w:rFonts w:hint="eastAsia" w:ascii="仿宋_GB2312" w:hAnsi="仿宋_GB2312" w:eastAsia="仿宋_GB2312" w:cs="仿宋_GB2312"/>
          <w:szCs w:val="32"/>
        </w:rPr>
        <w:t>市知识产权中心专利管理科  翟传翠  黄绍梁</w:t>
      </w:r>
    </w:p>
    <w:p>
      <w:pPr>
        <w:adjustRightInd w:val="0"/>
        <w:snapToGrid w:val="0"/>
        <w:spacing w:line="560" w:lineRule="exact"/>
        <w:ind w:firstLine="632" w:firstLineChars="200"/>
        <w:rPr>
          <w:rFonts w:hint="eastAsia" w:ascii="仿宋_GB2312" w:hAnsi="仿宋_GB2312" w:eastAsia="仿宋_GB2312" w:cs="仿宋_GB2312"/>
          <w:kern w:val="0"/>
          <w:szCs w:val="32"/>
          <w:lang w:val="en-US" w:eastAsia="zh-CN"/>
        </w:rPr>
      </w:pPr>
      <w:r>
        <w:rPr>
          <w:rFonts w:hint="eastAsia" w:ascii="仿宋_GB2312" w:hAnsi="仿宋_GB2312" w:eastAsia="仿宋_GB2312" w:cs="仿宋_GB2312"/>
          <w:kern w:val="0"/>
          <w:szCs w:val="32"/>
        </w:rPr>
        <w:t xml:space="preserve">电  话：22032296  </w:t>
      </w:r>
      <w:r>
        <w:rPr>
          <w:rFonts w:hint="eastAsia" w:ascii="仿宋_GB2312" w:hAnsi="仿宋_GB2312" w:eastAsia="仿宋_GB2312" w:cs="仿宋_GB2312"/>
          <w:kern w:val="0"/>
          <w:szCs w:val="32"/>
          <w:lang w:val="en-US" w:eastAsia="zh-CN"/>
        </w:rPr>
        <w:t>15392008865</w:t>
      </w:r>
    </w:p>
    <w:p>
      <w:pPr>
        <w:adjustRightInd w:val="0"/>
        <w:snapToGrid w:val="0"/>
        <w:spacing w:line="560" w:lineRule="exact"/>
        <w:ind w:firstLine="632" w:firstLineChars="200"/>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电子邮箱:fz83378546@163.com</w:t>
      </w:r>
    </w:p>
    <w:p>
      <w:pPr>
        <w:adjustRightInd w:val="0"/>
        <w:snapToGrid w:val="0"/>
        <w:spacing w:line="540" w:lineRule="exact"/>
        <w:ind w:firstLine="632" w:firstLineChars="200"/>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地  址：福州市鼓楼区软件园b区11号楼一层 知创福建平台</w:t>
      </w:r>
    </w:p>
    <w:p>
      <w:pPr>
        <w:spacing w:line="560" w:lineRule="exact"/>
        <w:rPr>
          <w:rFonts w:hint="eastAsia" w:ascii="仿宋_GB2312" w:hAnsi="仿宋_GB2312" w:eastAsia="仿宋_GB2312" w:cs="仿宋_GB2312"/>
          <w:szCs w:val="32"/>
        </w:rPr>
      </w:pPr>
    </w:p>
    <w:p>
      <w:pPr>
        <w:spacing w:line="560" w:lineRule="exact"/>
        <w:rPr>
          <w:rFonts w:hint="eastAsia" w:ascii="仿宋_GB2312" w:hAnsi="仿宋_GB2312" w:eastAsia="仿宋_GB2312" w:cs="仿宋_GB2312"/>
          <w:szCs w:val="32"/>
        </w:rPr>
      </w:pPr>
    </w:p>
    <w:p>
      <w:pPr>
        <w:spacing w:line="560" w:lineRule="exact"/>
        <w:ind w:firstLine="4740" w:firstLineChars="1500"/>
        <w:rPr>
          <w:rFonts w:hint="eastAsia" w:ascii="仿宋_GB2312" w:hAnsi="仿宋_GB2312" w:eastAsia="仿宋_GB2312" w:cs="仿宋_GB2312"/>
          <w:szCs w:val="32"/>
        </w:rPr>
      </w:pPr>
      <w:r>
        <w:rPr>
          <w:rFonts w:hint="eastAsia" w:ascii="仿宋_GB2312" w:hAnsi="仿宋_GB2312" w:eastAsia="仿宋_GB2312" w:cs="仿宋_GB2312"/>
          <w:szCs w:val="32"/>
        </w:rPr>
        <w:t>福州市市场监督管理局</w:t>
      </w:r>
    </w:p>
    <w:p>
      <w:pPr>
        <w:spacing w:line="560" w:lineRule="exact"/>
        <w:ind w:firstLine="4898" w:firstLineChars="1550"/>
        <w:rPr>
          <w:rFonts w:hint="eastAsia" w:ascii="仿宋_GB2312" w:hAnsi="仿宋_GB2312" w:eastAsia="仿宋_GB2312" w:cs="仿宋_GB2312"/>
          <w:szCs w:val="32"/>
        </w:rPr>
      </w:pPr>
      <w:r>
        <w:rPr>
          <w:rFonts w:hint="eastAsia" w:ascii="仿宋_GB2312" w:hAnsi="仿宋_GB2312" w:eastAsia="仿宋_GB2312" w:cs="仿宋_GB2312"/>
          <w:szCs w:val="32"/>
        </w:rPr>
        <w:t xml:space="preserve"> 20</w:t>
      </w:r>
      <w:r>
        <w:rPr>
          <w:rFonts w:hint="eastAsia" w:ascii="仿宋_GB2312" w:hAnsi="仿宋_GB2312" w:eastAsia="仿宋_GB2312" w:cs="仿宋_GB2312"/>
          <w:szCs w:val="32"/>
          <w:lang w:val="en-US" w:eastAsia="zh-CN"/>
        </w:rPr>
        <w:t>20</w:t>
      </w:r>
      <w:r>
        <w:rPr>
          <w:rFonts w:hint="eastAsia" w:ascii="仿宋_GB2312" w:hAnsi="仿宋_GB2312" w:eastAsia="仿宋_GB2312" w:cs="仿宋_GB2312"/>
          <w:szCs w:val="32"/>
        </w:rPr>
        <w:t>年</w:t>
      </w:r>
      <w:r>
        <w:rPr>
          <w:rFonts w:hint="eastAsia" w:ascii="仿宋_GB2312" w:hAnsi="仿宋_GB2312" w:eastAsia="仿宋_GB2312" w:cs="仿宋_GB2312"/>
          <w:szCs w:val="32"/>
          <w:lang w:val="en-US" w:eastAsia="zh-CN"/>
        </w:rPr>
        <w:t>10</w:t>
      </w:r>
      <w:r>
        <w:rPr>
          <w:rFonts w:hint="eastAsia" w:ascii="仿宋_GB2312" w:hAnsi="仿宋_GB2312" w:eastAsia="仿宋_GB2312" w:cs="仿宋_GB2312"/>
          <w:szCs w:val="32"/>
        </w:rPr>
        <w:t>月</w:t>
      </w:r>
      <w:r>
        <w:rPr>
          <w:rFonts w:hint="eastAsia" w:ascii="仿宋_GB2312" w:hAnsi="仿宋_GB2312" w:eastAsia="仿宋_GB2312" w:cs="仿宋_GB2312"/>
          <w:szCs w:val="32"/>
          <w:lang w:val="en-US" w:eastAsia="zh-CN"/>
        </w:rPr>
        <w:t>2</w:t>
      </w:r>
      <w:r>
        <w:rPr>
          <w:rFonts w:hint="eastAsia" w:ascii="仿宋_GB2312" w:hAnsi="仿宋_GB2312" w:cs="仿宋_GB2312"/>
          <w:szCs w:val="32"/>
          <w:lang w:val="en-US" w:eastAsia="zh-CN"/>
        </w:rPr>
        <w:t>6</w:t>
      </w:r>
      <w:r>
        <w:rPr>
          <w:rFonts w:hint="eastAsia" w:ascii="仿宋_GB2312" w:hAnsi="仿宋_GB2312" w:eastAsia="仿宋_GB2312" w:cs="仿宋_GB2312"/>
          <w:szCs w:val="32"/>
        </w:rPr>
        <w:t>日</w:t>
      </w:r>
    </w:p>
    <w:sectPr>
      <w:footerReference r:id="rId3" w:type="default"/>
      <w:footerReference r:id="rId4" w:type="even"/>
      <w:pgSz w:w="11906" w:h="16838"/>
      <w:pgMar w:top="2098" w:right="1474" w:bottom="1985" w:left="1474" w:header="851" w:footer="1134" w:gutter="113"/>
      <w:pgNumType w:fmt="numberInDash"/>
      <w:cols w:space="425" w:num="1"/>
      <w:titlePg/>
      <w:docGrid w:type="linesAndChars" w:linePitch="579" w:charSpace="-8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华文仿宋">
    <w:altName w:val="仿宋"/>
    <w:panose1 w:val="02010600040101010101"/>
    <w:charset w:val="86"/>
    <w:family w:val="auto"/>
    <w:pitch w:val="default"/>
    <w:sig w:usb0="00000000" w:usb1="00000000" w:usb2="00000000" w:usb3="00000000" w:csb0="0004009F" w:csb1="DFD70000"/>
  </w:font>
  <w:font w:name="华文楷体">
    <w:altName w:val="楷体_GB2312"/>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Arial Unicode MS">
    <w:altName w:val="宋体"/>
    <w:panose1 w:val="020B0604020202020204"/>
    <w:charset w:val="86"/>
    <w:family w:val="auto"/>
    <w:pitch w:val="default"/>
    <w:sig w:usb0="00000000" w:usb1="00000000" w:usb2="0000003F" w:usb3="00000000" w:csb0="603F01FF" w:csb1="FFFF0000"/>
  </w:font>
  <w:font w:name="Tahoma">
    <w:panose1 w:val="020B0604030504040204"/>
    <w:charset w:val="00"/>
    <w:family w:val="swiss"/>
    <w:pitch w:val="default"/>
    <w:sig w:usb0="E1002EFF" w:usb1="C000605B" w:usb2="00000029" w:usb3="00000000" w:csb0="200101FF" w:csb1="20280000"/>
  </w:font>
  <w:font w:name="Univers (W1)">
    <w:altName w:val="Arial"/>
    <w:panose1 w:val="00000000000000000000"/>
    <w:charset w:val="00"/>
    <w:family w:val="swiss"/>
    <w:pitch w:val="default"/>
    <w:sig w:usb0="00000000" w:usb1="00000000" w:usb2="00000000" w:usb3="00000000" w:csb0="00000001" w:csb1="00000000"/>
  </w:font>
  <w:font w:name="Courier New">
    <w:panose1 w:val="02070309020205020404"/>
    <w:charset w:val="00"/>
    <w:family w:val="modern"/>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_x001A_">
    <w:altName w:val="Times New Roman"/>
    <w:panose1 w:val="00000000000000000000"/>
    <w:charset w:val="01"/>
    <w:family w:val="roman"/>
    <w:pitch w:val="default"/>
    <w:sig w:usb0="00000000" w:usb1="00000000" w:usb2="00000000" w:usb3="00000000" w:csb0="00040001"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Adobe 仿宋 Std R">
    <w:altName w:val="仿宋"/>
    <w:panose1 w:val="00000000000000000000"/>
    <w:charset w:val="86"/>
    <w:family w:val="roman"/>
    <w:pitch w:val="default"/>
    <w:sig w:usb0="00000000" w:usb1="00000000" w:usb2="00000016" w:usb3="00000000" w:csb0="00060007" w:csb1="00000000"/>
  </w:font>
  <w:font w:name="fzzhunysk">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libri Light">
    <w:altName w:val="Calibri"/>
    <w:panose1 w:val="020F0302020204030204"/>
    <w:charset w:val="00"/>
    <w:family w:val="auto"/>
    <w:pitch w:val="default"/>
    <w:sig w:usb0="00000000" w:usb1="00000000" w:usb2="00000000" w:usb3="00000000" w:csb0="2000019F" w:csb1="00000000"/>
  </w:font>
  <w:font w:name="方正黑体_GBK">
    <w:panose1 w:val="03000509000000000000"/>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MingLiU">
    <w:panose1 w:val="02020509000000000000"/>
    <w:charset w:val="88"/>
    <w:family w:val="auto"/>
    <w:pitch w:val="default"/>
    <w:sig w:usb0="A00002FF" w:usb1="28CFFCFA" w:usb2="00000016" w:usb3="00000000" w:csb0="00100001" w:csb1="00000000"/>
  </w:font>
  <w:font w:name="宋体-方正超大字符集">
    <w:altName w:val="宋体"/>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rPr>
    </w:pP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lang w:val="zh-CN"/>
      </w:rPr>
      <w:t>-</w:t>
    </w:r>
    <w:r>
      <w:rPr>
        <w:rFonts w:ascii="宋体" w:hAnsi="宋体" w:eastAsia="宋体"/>
        <w:sz w:val="28"/>
      </w:rPr>
      <w:t xml:space="preserve"> 3 -</w:t>
    </w:r>
    <w:r>
      <w:rPr>
        <w:rFonts w:ascii="宋体" w:hAnsi="宋体" w:eastAsia="宋体"/>
        <w:sz w:val="28"/>
      </w:rPr>
      <w:fldChar w:fldCharType="end"/>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rPr>
        <w:rStyle w:val="8"/>
        <w:rFonts w:ascii="宋体" w:hAnsi="宋体" w:eastAsia="宋体"/>
        <w:sz w:val="28"/>
        <w:szCs w:val="28"/>
      </w:rPr>
    </w:pPr>
    <w:r>
      <w:rPr>
        <w:rStyle w:val="8"/>
        <w:rFonts w:ascii="宋体" w:hAnsi="宋体" w:eastAsia="宋体"/>
        <w:sz w:val="28"/>
        <w:szCs w:val="28"/>
      </w:rPr>
      <w:fldChar w:fldCharType="begin"/>
    </w:r>
    <w:r>
      <w:rPr>
        <w:rStyle w:val="8"/>
        <w:rFonts w:ascii="宋体" w:hAnsi="宋体" w:eastAsia="宋体"/>
        <w:sz w:val="28"/>
        <w:szCs w:val="28"/>
      </w:rPr>
      <w:instrText xml:space="preserve">PAGE  </w:instrText>
    </w:r>
    <w:r>
      <w:rPr>
        <w:rStyle w:val="8"/>
        <w:rFonts w:ascii="宋体" w:hAnsi="宋体" w:eastAsia="宋体"/>
        <w:sz w:val="28"/>
        <w:szCs w:val="28"/>
      </w:rPr>
      <w:fldChar w:fldCharType="separate"/>
    </w:r>
    <w:r>
      <w:rPr>
        <w:rStyle w:val="8"/>
        <w:rFonts w:ascii="宋体" w:hAnsi="宋体" w:eastAsia="宋体"/>
        <w:sz w:val="28"/>
        <w:szCs w:val="28"/>
      </w:rPr>
      <w:t>- 2 -</w:t>
    </w:r>
    <w:r>
      <w:rPr>
        <w:rStyle w:val="8"/>
        <w:rFonts w:ascii="宋体" w:hAnsi="宋体" w:eastAsia="宋体"/>
        <w:sz w:val="28"/>
        <w:szCs w:val="28"/>
      </w:rPr>
      <w:fldChar w:fldCharType="end"/>
    </w:r>
  </w:p>
  <w:p>
    <w:pPr>
      <w:pStyle w:val="5"/>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C63547"/>
    <w:multiLevelType w:val="multilevel"/>
    <w:tmpl w:val="3CC63547"/>
    <w:lvl w:ilvl="0" w:tentative="0">
      <w:start w:val="1"/>
      <w:numFmt w:val="japaneseCounting"/>
      <w:pStyle w:val="13"/>
      <w:lvlText w:val="%1、"/>
      <w:lvlJc w:val="left"/>
      <w:pPr>
        <w:tabs>
          <w:tab w:val="left" w:pos="1354"/>
        </w:tabs>
        <w:ind w:left="1354" w:hanging="720"/>
      </w:pPr>
      <w:rPr>
        <w:rFonts w:hint="default"/>
      </w:rPr>
    </w:lvl>
    <w:lvl w:ilvl="1" w:tentative="0">
      <w:start w:val="1"/>
      <w:numFmt w:val="lowerLetter"/>
      <w:lvlText w:val="%2)"/>
      <w:lvlJc w:val="left"/>
      <w:pPr>
        <w:tabs>
          <w:tab w:val="left" w:pos="1474"/>
        </w:tabs>
        <w:ind w:left="1474" w:hanging="420"/>
      </w:pPr>
    </w:lvl>
    <w:lvl w:ilvl="2" w:tentative="0">
      <w:start w:val="1"/>
      <w:numFmt w:val="lowerRoman"/>
      <w:lvlText w:val="%3."/>
      <w:lvlJc w:val="right"/>
      <w:pPr>
        <w:tabs>
          <w:tab w:val="left" w:pos="1894"/>
        </w:tabs>
        <w:ind w:left="1894" w:hanging="420"/>
      </w:pPr>
    </w:lvl>
    <w:lvl w:ilvl="3" w:tentative="0">
      <w:start w:val="1"/>
      <w:numFmt w:val="decimal"/>
      <w:lvlText w:val="%4."/>
      <w:lvlJc w:val="left"/>
      <w:pPr>
        <w:tabs>
          <w:tab w:val="left" w:pos="2314"/>
        </w:tabs>
        <w:ind w:left="2314" w:hanging="420"/>
      </w:pPr>
    </w:lvl>
    <w:lvl w:ilvl="4" w:tentative="0">
      <w:start w:val="1"/>
      <w:numFmt w:val="lowerLetter"/>
      <w:lvlText w:val="%5)"/>
      <w:lvlJc w:val="left"/>
      <w:pPr>
        <w:tabs>
          <w:tab w:val="left" w:pos="2734"/>
        </w:tabs>
        <w:ind w:left="2734" w:hanging="420"/>
      </w:pPr>
    </w:lvl>
    <w:lvl w:ilvl="5" w:tentative="0">
      <w:start w:val="1"/>
      <w:numFmt w:val="lowerRoman"/>
      <w:lvlText w:val="%6."/>
      <w:lvlJc w:val="right"/>
      <w:pPr>
        <w:tabs>
          <w:tab w:val="left" w:pos="3154"/>
        </w:tabs>
        <w:ind w:left="3154" w:hanging="420"/>
      </w:pPr>
    </w:lvl>
    <w:lvl w:ilvl="6" w:tentative="0">
      <w:start w:val="1"/>
      <w:numFmt w:val="decimal"/>
      <w:lvlText w:val="%7."/>
      <w:lvlJc w:val="left"/>
      <w:pPr>
        <w:tabs>
          <w:tab w:val="left" w:pos="3574"/>
        </w:tabs>
        <w:ind w:left="3574" w:hanging="420"/>
      </w:pPr>
    </w:lvl>
    <w:lvl w:ilvl="7" w:tentative="0">
      <w:start w:val="1"/>
      <w:numFmt w:val="lowerLetter"/>
      <w:lvlText w:val="%8)"/>
      <w:lvlJc w:val="left"/>
      <w:pPr>
        <w:tabs>
          <w:tab w:val="left" w:pos="3994"/>
        </w:tabs>
        <w:ind w:left="3994" w:hanging="420"/>
      </w:pPr>
    </w:lvl>
    <w:lvl w:ilvl="8" w:tentative="0">
      <w:start w:val="1"/>
      <w:numFmt w:val="lowerRoman"/>
      <w:lvlText w:val="%9."/>
      <w:lvlJc w:val="right"/>
      <w:pPr>
        <w:tabs>
          <w:tab w:val="left" w:pos="4414"/>
        </w:tabs>
        <w:ind w:left="4414" w:hanging="420"/>
      </w:pPr>
    </w:lvl>
  </w:abstractNum>
  <w:abstractNum w:abstractNumId="1">
    <w:nsid w:val="5F94018F"/>
    <w:multiLevelType w:val="singleLevel"/>
    <w:tmpl w:val="5F94018F"/>
    <w:lvl w:ilvl="0" w:tentative="0">
      <w:start w:val="3"/>
      <w:numFmt w:val="decimal"/>
      <w:suff w:val="nothing"/>
      <w:lvlText w:val="（%1）"/>
      <w:lvlJc w:val="left"/>
    </w:lvl>
  </w:abstractNum>
  <w:abstractNum w:abstractNumId="2">
    <w:nsid w:val="5F94041F"/>
    <w:multiLevelType w:val="singleLevel"/>
    <w:tmpl w:val="5F94041F"/>
    <w:lvl w:ilvl="0" w:tentative="0">
      <w:start w:val="2"/>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C3831"/>
    <w:rsid w:val="0000130B"/>
    <w:rsid w:val="00001742"/>
    <w:rsid w:val="000060A8"/>
    <w:rsid w:val="00022339"/>
    <w:rsid w:val="00025142"/>
    <w:rsid w:val="00043FD8"/>
    <w:rsid w:val="000507DF"/>
    <w:rsid w:val="00050BE4"/>
    <w:rsid w:val="00054A46"/>
    <w:rsid w:val="00055F34"/>
    <w:rsid w:val="00066384"/>
    <w:rsid w:val="00084FA8"/>
    <w:rsid w:val="000947EC"/>
    <w:rsid w:val="000A0EF6"/>
    <w:rsid w:val="000A49BF"/>
    <w:rsid w:val="000A7311"/>
    <w:rsid w:val="000C61C8"/>
    <w:rsid w:val="000C65B8"/>
    <w:rsid w:val="000C671E"/>
    <w:rsid w:val="000C699F"/>
    <w:rsid w:val="000C6EB4"/>
    <w:rsid w:val="000C6F59"/>
    <w:rsid w:val="000D28F0"/>
    <w:rsid w:val="000D3EAE"/>
    <w:rsid w:val="000D4EC1"/>
    <w:rsid w:val="000D5E80"/>
    <w:rsid w:val="000D7D74"/>
    <w:rsid w:val="000E0118"/>
    <w:rsid w:val="000E03B7"/>
    <w:rsid w:val="000E07A5"/>
    <w:rsid w:val="000E4C95"/>
    <w:rsid w:val="000F1740"/>
    <w:rsid w:val="000F3AC4"/>
    <w:rsid w:val="000F45A2"/>
    <w:rsid w:val="001005FA"/>
    <w:rsid w:val="001018EF"/>
    <w:rsid w:val="001056F9"/>
    <w:rsid w:val="00120438"/>
    <w:rsid w:val="001215F0"/>
    <w:rsid w:val="00122E3D"/>
    <w:rsid w:val="001268BD"/>
    <w:rsid w:val="00131110"/>
    <w:rsid w:val="001506D4"/>
    <w:rsid w:val="001557E3"/>
    <w:rsid w:val="00160C58"/>
    <w:rsid w:val="001641DD"/>
    <w:rsid w:val="00173387"/>
    <w:rsid w:val="001A57B5"/>
    <w:rsid w:val="001C1C8C"/>
    <w:rsid w:val="001C2442"/>
    <w:rsid w:val="001D02AE"/>
    <w:rsid w:val="001D48A1"/>
    <w:rsid w:val="001D51C2"/>
    <w:rsid w:val="001D5FE5"/>
    <w:rsid w:val="001D7521"/>
    <w:rsid w:val="001E2920"/>
    <w:rsid w:val="001E64F1"/>
    <w:rsid w:val="001E6F9B"/>
    <w:rsid w:val="001F29DB"/>
    <w:rsid w:val="001F4478"/>
    <w:rsid w:val="001F6316"/>
    <w:rsid w:val="001F70FE"/>
    <w:rsid w:val="0020482D"/>
    <w:rsid w:val="00210D53"/>
    <w:rsid w:val="00213C1F"/>
    <w:rsid w:val="00214A3E"/>
    <w:rsid w:val="0021529E"/>
    <w:rsid w:val="00236264"/>
    <w:rsid w:val="002367D0"/>
    <w:rsid w:val="00240F1C"/>
    <w:rsid w:val="00247FAD"/>
    <w:rsid w:val="00252D0F"/>
    <w:rsid w:val="00255A39"/>
    <w:rsid w:val="00260AAB"/>
    <w:rsid w:val="002622E3"/>
    <w:rsid w:val="002670D0"/>
    <w:rsid w:val="00267893"/>
    <w:rsid w:val="002734C7"/>
    <w:rsid w:val="00277AB7"/>
    <w:rsid w:val="00283310"/>
    <w:rsid w:val="002A1A44"/>
    <w:rsid w:val="002B0BC1"/>
    <w:rsid w:val="002B3DA2"/>
    <w:rsid w:val="002C1CDF"/>
    <w:rsid w:val="002C1FF1"/>
    <w:rsid w:val="002C76B0"/>
    <w:rsid w:val="002D5901"/>
    <w:rsid w:val="002D7AEE"/>
    <w:rsid w:val="002E1D0A"/>
    <w:rsid w:val="002E4A7D"/>
    <w:rsid w:val="002E612D"/>
    <w:rsid w:val="002F0BFB"/>
    <w:rsid w:val="002F30DC"/>
    <w:rsid w:val="002F668A"/>
    <w:rsid w:val="0030442B"/>
    <w:rsid w:val="00307267"/>
    <w:rsid w:val="003135A6"/>
    <w:rsid w:val="00325183"/>
    <w:rsid w:val="00327859"/>
    <w:rsid w:val="003308DC"/>
    <w:rsid w:val="00331B3A"/>
    <w:rsid w:val="003342DB"/>
    <w:rsid w:val="00334A75"/>
    <w:rsid w:val="003425D1"/>
    <w:rsid w:val="00344822"/>
    <w:rsid w:val="00357554"/>
    <w:rsid w:val="00361A7D"/>
    <w:rsid w:val="003636F4"/>
    <w:rsid w:val="00366043"/>
    <w:rsid w:val="00382659"/>
    <w:rsid w:val="00382EFD"/>
    <w:rsid w:val="0038410C"/>
    <w:rsid w:val="003954C1"/>
    <w:rsid w:val="003A0F5E"/>
    <w:rsid w:val="003A464C"/>
    <w:rsid w:val="003A588B"/>
    <w:rsid w:val="003A7C62"/>
    <w:rsid w:val="003B3CE6"/>
    <w:rsid w:val="003B6216"/>
    <w:rsid w:val="003C09AE"/>
    <w:rsid w:val="003D22E6"/>
    <w:rsid w:val="003E151F"/>
    <w:rsid w:val="003E4711"/>
    <w:rsid w:val="003E6C26"/>
    <w:rsid w:val="003F5DBA"/>
    <w:rsid w:val="003F697F"/>
    <w:rsid w:val="004024BD"/>
    <w:rsid w:val="00403053"/>
    <w:rsid w:val="004061A8"/>
    <w:rsid w:val="0040701D"/>
    <w:rsid w:val="00410183"/>
    <w:rsid w:val="00412A5F"/>
    <w:rsid w:val="004147D1"/>
    <w:rsid w:val="00415616"/>
    <w:rsid w:val="00417AB2"/>
    <w:rsid w:val="00420237"/>
    <w:rsid w:val="00423E59"/>
    <w:rsid w:val="00431E5C"/>
    <w:rsid w:val="00435BA2"/>
    <w:rsid w:val="00436408"/>
    <w:rsid w:val="00437EEB"/>
    <w:rsid w:val="00445B4C"/>
    <w:rsid w:val="0045159F"/>
    <w:rsid w:val="00455C8C"/>
    <w:rsid w:val="00471642"/>
    <w:rsid w:val="004730EF"/>
    <w:rsid w:val="0048196E"/>
    <w:rsid w:val="004849FE"/>
    <w:rsid w:val="0048512D"/>
    <w:rsid w:val="004A021B"/>
    <w:rsid w:val="004A0B94"/>
    <w:rsid w:val="004A1657"/>
    <w:rsid w:val="004A1CF6"/>
    <w:rsid w:val="004A2757"/>
    <w:rsid w:val="004A5109"/>
    <w:rsid w:val="004A6053"/>
    <w:rsid w:val="004A7781"/>
    <w:rsid w:val="004B0549"/>
    <w:rsid w:val="004B38CA"/>
    <w:rsid w:val="004B5961"/>
    <w:rsid w:val="004B79DE"/>
    <w:rsid w:val="004B7C04"/>
    <w:rsid w:val="004C11F9"/>
    <w:rsid w:val="004C208B"/>
    <w:rsid w:val="004C369E"/>
    <w:rsid w:val="004C3A74"/>
    <w:rsid w:val="004C6230"/>
    <w:rsid w:val="004C6FB7"/>
    <w:rsid w:val="004D4F63"/>
    <w:rsid w:val="004F01B2"/>
    <w:rsid w:val="004F50B1"/>
    <w:rsid w:val="004F6C6E"/>
    <w:rsid w:val="005049C4"/>
    <w:rsid w:val="00506E02"/>
    <w:rsid w:val="0051252F"/>
    <w:rsid w:val="0051466A"/>
    <w:rsid w:val="0051752D"/>
    <w:rsid w:val="005232F2"/>
    <w:rsid w:val="0052430B"/>
    <w:rsid w:val="005247BD"/>
    <w:rsid w:val="00532946"/>
    <w:rsid w:val="00534DEC"/>
    <w:rsid w:val="005446D4"/>
    <w:rsid w:val="00554656"/>
    <w:rsid w:val="00556616"/>
    <w:rsid w:val="00556AC4"/>
    <w:rsid w:val="00556B3D"/>
    <w:rsid w:val="0056280A"/>
    <w:rsid w:val="005635F3"/>
    <w:rsid w:val="00563FC9"/>
    <w:rsid w:val="005647C7"/>
    <w:rsid w:val="005647D0"/>
    <w:rsid w:val="00565797"/>
    <w:rsid w:val="00565ABF"/>
    <w:rsid w:val="00565E06"/>
    <w:rsid w:val="00581455"/>
    <w:rsid w:val="00583490"/>
    <w:rsid w:val="0059101C"/>
    <w:rsid w:val="0059142F"/>
    <w:rsid w:val="005934BF"/>
    <w:rsid w:val="0059563C"/>
    <w:rsid w:val="005A32AE"/>
    <w:rsid w:val="005B1904"/>
    <w:rsid w:val="005B49F5"/>
    <w:rsid w:val="005B6E42"/>
    <w:rsid w:val="005C0A85"/>
    <w:rsid w:val="005C31B4"/>
    <w:rsid w:val="005D0BF3"/>
    <w:rsid w:val="005D145A"/>
    <w:rsid w:val="005D7452"/>
    <w:rsid w:val="005E401B"/>
    <w:rsid w:val="005E4AF7"/>
    <w:rsid w:val="005F1B5B"/>
    <w:rsid w:val="005F70EA"/>
    <w:rsid w:val="00601700"/>
    <w:rsid w:val="0060438B"/>
    <w:rsid w:val="006046F5"/>
    <w:rsid w:val="00606F46"/>
    <w:rsid w:val="00611E99"/>
    <w:rsid w:val="0061628F"/>
    <w:rsid w:val="0062182C"/>
    <w:rsid w:val="00623C47"/>
    <w:rsid w:val="00623FBB"/>
    <w:rsid w:val="0062402E"/>
    <w:rsid w:val="00630131"/>
    <w:rsid w:val="006369A3"/>
    <w:rsid w:val="00646E25"/>
    <w:rsid w:val="006540E5"/>
    <w:rsid w:val="006560C5"/>
    <w:rsid w:val="00660344"/>
    <w:rsid w:val="00661F61"/>
    <w:rsid w:val="00664E72"/>
    <w:rsid w:val="00674FD0"/>
    <w:rsid w:val="0068400D"/>
    <w:rsid w:val="00684D1C"/>
    <w:rsid w:val="0069327F"/>
    <w:rsid w:val="00693CEB"/>
    <w:rsid w:val="00696A33"/>
    <w:rsid w:val="006A08E3"/>
    <w:rsid w:val="006A42F9"/>
    <w:rsid w:val="006B08F1"/>
    <w:rsid w:val="006B20A9"/>
    <w:rsid w:val="006B395D"/>
    <w:rsid w:val="006C0351"/>
    <w:rsid w:val="006C11CD"/>
    <w:rsid w:val="006C2DD1"/>
    <w:rsid w:val="006C3831"/>
    <w:rsid w:val="006D11AF"/>
    <w:rsid w:val="006D1F4D"/>
    <w:rsid w:val="006D389A"/>
    <w:rsid w:val="006D6C75"/>
    <w:rsid w:val="006E06D7"/>
    <w:rsid w:val="006E0EEC"/>
    <w:rsid w:val="006F245D"/>
    <w:rsid w:val="006F28D5"/>
    <w:rsid w:val="00711F7F"/>
    <w:rsid w:val="00712BF1"/>
    <w:rsid w:val="00712E88"/>
    <w:rsid w:val="007163BB"/>
    <w:rsid w:val="007166C3"/>
    <w:rsid w:val="00717B85"/>
    <w:rsid w:val="007208FD"/>
    <w:rsid w:val="00722172"/>
    <w:rsid w:val="007424B1"/>
    <w:rsid w:val="00743797"/>
    <w:rsid w:val="007441AB"/>
    <w:rsid w:val="00747125"/>
    <w:rsid w:val="00751E44"/>
    <w:rsid w:val="0075706D"/>
    <w:rsid w:val="00763161"/>
    <w:rsid w:val="0076386E"/>
    <w:rsid w:val="007640CA"/>
    <w:rsid w:val="00764FD7"/>
    <w:rsid w:val="007650C3"/>
    <w:rsid w:val="007676AC"/>
    <w:rsid w:val="00770A23"/>
    <w:rsid w:val="00775DEA"/>
    <w:rsid w:val="0077669A"/>
    <w:rsid w:val="00780F37"/>
    <w:rsid w:val="007857CF"/>
    <w:rsid w:val="00796FD3"/>
    <w:rsid w:val="007B6343"/>
    <w:rsid w:val="007B6D66"/>
    <w:rsid w:val="007C240D"/>
    <w:rsid w:val="007C2CBB"/>
    <w:rsid w:val="007C5609"/>
    <w:rsid w:val="007C726A"/>
    <w:rsid w:val="007C789B"/>
    <w:rsid w:val="007D2800"/>
    <w:rsid w:val="007D410D"/>
    <w:rsid w:val="007E2699"/>
    <w:rsid w:val="007E4839"/>
    <w:rsid w:val="007E48F9"/>
    <w:rsid w:val="007E706B"/>
    <w:rsid w:val="007E7D5A"/>
    <w:rsid w:val="00801E36"/>
    <w:rsid w:val="00802E66"/>
    <w:rsid w:val="00811FBA"/>
    <w:rsid w:val="00812F26"/>
    <w:rsid w:val="00822E57"/>
    <w:rsid w:val="0082315E"/>
    <w:rsid w:val="00826666"/>
    <w:rsid w:val="0083224D"/>
    <w:rsid w:val="00835C4A"/>
    <w:rsid w:val="00841D11"/>
    <w:rsid w:val="008440F1"/>
    <w:rsid w:val="008461E5"/>
    <w:rsid w:val="008468E9"/>
    <w:rsid w:val="00853457"/>
    <w:rsid w:val="00857387"/>
    <w:rsid w:val="008625B2"/>
    <w:rsid w:val="008658B2"/>
    <w:rsid w:val="00866491"/>
    <w:rsid w:val="00866CB7"/>
    <w:rsid w:val="00871B78"/>
    <w:rsid w:val="00872BFE"/>
    <w:rsid w:val="00883922"/>
    <w:rsid w:val="0088760C"/>
    <w:rsid w:val="00887695"/>
    <w:rsid w:val="00893963"/>
    <w:rsid w:val="00895C0B"/>
    <w:rsid w:val="008A1653"/>
    <w:rsid w:val="008A47E2"/>
    <w:rsid w:val="008A6ECC"/>
    <w:rsid w:val="008A7D65"/>
    <w:rsid w:val="008B0B36"/>
    <w:rsid w:val="008B1151"/>
    <w:rsid w:val="008B764D"/>
    <w:rsid w:val="008D087C"/>
    <w:rsid w:val="008D1EA5"/>
    <w:rsid w:val="008D3594"/>
    <w:rsid w:val="008D5459"/>
    <w:rsid w:val="008D7B27"/>
    <w:rsid w:val="008E0BD8"/>
    <w:rsid w:val="008E190D"/>
    <w:rsid w:val="008E34C9"/>
    <w:rsid w:val="008F3C81"/>
    <w:rsid w:val="008F61B1"/>
    <w:rsid w:val="00901F61"/>
    <w:rsid w:val="00912C9D"/>
    <w:rsid w:val="00913D58"/>
    <w:rsid w:val="009159E2"/>
    <w:rsid w:val="009202C1"/>
    <w:rsid w:val="00927884"/>
    <w:rsid w:val="00927E5D"/>
    <w:rsid w:val="00933C33"/>
    <w:rsid w:val="009359EB"/>
    <w:rsid w:val="009528D8"/>
    <w:rsid w:val="00961AC3"/>
    <w:rsid w:val="00970369"/>
    <w:rsid w:val="00970BDF"/>
    <w:rsid w:val="00970F27"/>
    <w:rsid w:val="00975649"/>
    <w:rsid w:val="00981741"/>
    <w:rsid w:val="00982010"/>
    <w:rsid w:val="00984C84"/>
    <w:rsid w:val="00986235"/>
    <w:rsid w:val="0099660B"/>
    <w:rsid w:val="009A45FB"/>
    <w:rsid w:val="009A5A04"/>
    <w:rsid w:val="009B35A8"/>
    <w:rsid w:val="009C7A95"/>
    <w:rsid w:val="009D0C21"/>
    <w:rsid w:val="009D66DC"/>
    <w:rsid w:val="009D7518"/>
    <w:rsid w:val="009E3E84"/>
    <w:rsid w:val="009E4CB5"/>
    <w:rsid w:val="009E5451"/>
    <w:rsid w:val="009E67BF"/>
    <w:rsid w:val="009F0048"/>
    <w:rsid w:val="009F09A8"/>
    <w:rsid w:val="009F380C"/>
    <w:rsid w:val="009F4D5D"/>
    <w:rsid w:val="00A13D13"/>
    <w:rsid w:val="00A15FF8"/>
    <w:rsid w:val="00A213FA"/>
    <w:rsid w:val="00A24069"/>
    <w:rsid w:val="00A2655D"/>
    <w:rsid w:val="00A34C62"/>
    <w:rsid w:val="00A420BD"/>
    <w:rsid w:val="00A42324"/>
    <w:rsid w:val="00A42836"/>
    <w:rsid w:val="00A504B8"/>
    <w:rsid w:val="00A512A1"/>
    <w:rsid w:val="00A51B29"/>
    <w:rsid w:val="00A527CD"/>
    <w:rsid w:val="00A53605"/>
    <w:rsid w:val="00A5384F"/>
    <w:rsid w:val="00A54A60"/>
    <w:rsid w:val="00A57687"/>
    <w:rsid w:val="00A6057D"/>
    <w:rsid w:val="00A625A8"/>
    <w:rsid w:val="00A6325E"/>
    <w:rsid w:val="00A66C89"/>
    <w:rsid w:val="00A66CE2"/>
    <w:rsid w:val="00A70F3D"/>
    <w:rsid w:val="00A74639"/>
    <w:rsid w:val="00A7584D"/>
    <w:rsid w:val="00A767D1"/>
    <w:rsid w:val="00A80DCA"/>
    <w:rsid w:val="00A82D4F"/>
    <w:rsid w:val="00A8526F"/>
    <w:rsid w:val="00A9248F"/>
    <w:rsid w:val="00A93D66"/>
    <w:rsid w:val="00A94A86"/>
    <w:rsid w:val="00A97F3E"/>
    <w:rsid w:val="00AA0E29"/>
    <w:rsid w:val="00AA3826"/>
    <w:rsid w:val="00AB2411"/>
    <w:rsid w:val="00AB7A14"/>
    <w:rsid w:val="00AC2286"/>
    <w:rsid w:val="00AC27F7"/>
    <w:rsid w:val="00AC4A25"/>
    <w:rsid w:val="00AC631C"/>
    <w:rsid w:val="00AC7E28"/>
    <w:rsid w:val="00AD0F3A"/>
    <w:rsid w:val="00AD74AA"/>
    <w:rsid w:val="00AD771F"/>
    <w:rsid w:val="00AE13A5"/>
    <w:rsid w:val="00AE7D48"/>
    <w:rsid w:val="00AF1682"/>
    <w:rsid w:val="00B01AAA"/>
    <w:rsid w:val="00B058F0"/>
    <w:rsid w:val="00B13692"/>
    <w:rsid w:val="00B20A43"/>
    <w:rsid w:val="00B2155B"/>
    <w:rsid w:val="00B27187"/>
    <w:rsid w:val="00B27612"/>
    <w:rsid w:val="00B32DF0"/>
    <w:rsid w:val="00B34003"/>
    <w:rsid w:val="00B34696"/>
    <w:rsid w:val="00B40466"/>
    <w:rsid w:val="00B446C8"/>
    <w:rsid w:val="00B46AB8"/>
    <w:rsid w:val="00B52CAD"/>
    <w:rsid w:val="00B631CF"/>
    <w:rsid w:val="00B7068E"/>
    <w:rsid w:val="00B70B52"/>
    <w:rsid w:val="00B7389A"/>
    <w:rsid w:val="00B73F5E"/>
    <w:rsid w:val="00B76F13"/>
    <w:rsid w:val="00B8032E"/>
    <w:rsid w:val="00B8264A"/>
    <w:rsid w:val="00B82E0D"/>
    <w:rsid w:val="00B84840"/>
    <w:rsid w:val="00B863C4"/>
    <w:rsid w:val="00B90131"/>
    <w:rsid w:val="00B936E5"/>
    <w:rsid w:val="00BA3EAF"/>
    <w:rsid w:val="00BA7B2A"/>
    <w:rsid w:val="00BB50BF"/>
    <w:rsid w:val="00BB6664"/>
    <w:rsid w:val="00BC24D4"/>
    <w:rsid w:val="00BD2EC3"/>
    <w:rsid w:val="00BD41D0"/>
    <w:rsid w:val="00BD599A"/>
    <w:rsid w:val="00BE603B"/>
    <w:rsid w:val="00BF5240"/>
    <w:rsid w:val="00C144D7"/>
    <w:rsid w:val="00C27925"/>
    <w:rsid w:val="00C27A20"/>
    <w:rsid w:val="00C505EB"/>
    <w:rsid w:val="00C51F0E"/>
    <w:rsid w:val="00C62006"/>
    <w:rsid w:val="00C6230B"/>
    <w:rsid w:val="00C64C6C"/>
    <w:rsid w:val="00C64E26"/>
    <w:rsid w:val="00C66CFA"/>
    <w:rsid w:val="00C75573"/>
    <w:rsid w:val="00C829E2"/>
    <w:rsid w:val="00C8504A"/>
    <w:rsid w:val="00C95F4A"/>
    <w:rsid w:val="00CA0379"/>
    <w:rsid w:val="00CA0B08"/>
    <w:rsid w:val="00CA2395"/>
    <w:rsid w:val="00CA2674"/>
    <w:rsid w:val="00CA3623"/>
    <w:rsid w:val="00CA7B8C"/>
    <w:rsid w:val="00CB173B"/>
    <w:rsid w:val="00CD125F"/>
    <w:rsid w:val="00CD1F2C"/>
    <w:rsid w:val="00CD6F87"/>
    <w:rsid w:val="00CE6F26"/>
    <w:rsid w:val="00CF3CEE"/>
    <w:rsid w:val="00D01B83"/>
    <w:rsid w:val="00D101D5"/>
    <w:rsid w:val="00D108D6"/>
    <w:rsid w:val="00D20282"/>
    <w:rsid w:val="00D216F6"/>
    <w:rsid w:val="00D2576E"/>
    <w:rsid w:val="00D36E36"/>
    <w:rsid w:val="00D4678C"/>
    <w:rsid w:val="00D46A1B"/>
    <w:rsid w:val="00D47808"/>
    <w:rsid w:val="00D47F96"/>
    <w:rsid w:val="00D511E2"/>
    <w:rsid w:val="00D525CD"/>
    <w:rsid w:val="00D632A8"/>
    <w:rsid w:val="00D64115"/>
    <w:rsid w:val="00D70156"/>
    <w:rsid w:val="00D70921"/>
    <w:rsid w:val="00D71B93"/>
    <w:rsid w:val="00D71DD6"/>
    <w:rsid w:val="00D732CA"/>
    <w:rsid w:val="00D852D2"/>
    <w:rsid w:val="00DA712A"/>
    <w:rsid w:val="00DA79C0"/>
    <w:rsid w:val="00DB2B5D"/>
    <w:rsid w:val="00DC7E3E"/>
    <w:rsid w:val="00DD0E1C"/>
    <w:rsid w:val="00DD56F3"/>
    <w:rsid w:val="00DD6068"/>
    <w:rsid w:val="00DD7617"/>
    <w:rsid w:val="00DE2C12"/>
    <w:rsid w:val="00DE499C"/>
    <w:rsid w:val="00DE510B"/>
    <w:rsid w:val="00DE7C77"/>
    <w:rsid w:val="00DF46DA"/>
    <w:rsid w:val="00DF79B5"/>
    <w:rsid w:val="00E003B9"/>
    <w:rsid w:val="00E013C2"/>
    <w:rsid w:val="00E02ABD"/>
    <w:rsid w:val="00E036B9"/>
    <w:rsid w:val="00E05874"/>
    <w:rsid w:val="00E066C2"/>
    <w:rsid w:val="00E11E58"/>
    <w:rsid w:val="00E27FE9"/>
    <w:rsid w:val="00E312EA"/>
    <w:rsid w:val="00E34336"/>
    <w:rsid w:val="00E34E0E"/>
    <w:rsid w:val="00E358FE"/>
    <w:rsid w:val="00E36236"/>
    <w:rsid w:val="00E4135B"/>
    <w:rsid w:val="00E41B0B"/>
    <w:rsid w:val="00E476E3"/>
    <w:rsid w:val="00E54A21"/>
    <w:rsid w:val="00E609BA"/>
    <w:rsid w:val="00E62F40"/>
    <w:rsid w:val="00E65696"/>
    <w:rsid w:val="00E7179E"/>
    <w:rsid w:val="00E75E08"/>
    <w:rsid w:val="00E771BF"/>
    <w:rsid w:val="00E773EB"/>
    <w:rsid w:val="00E80BA1"/>
    <w:rsid w:val="00E85EC7"/>
    <w:rsid w:val="00E907A1"/>
    <w:rsid w:val="00E90A62"/>
    <w:rsid w:val="00E96E4A"/>
    <w:rsid w:val="00E97AAC"/>
    <w:rsid w:val="00E97C19"/>
    <w:rsid w:val="00E97DCB"/>
    <w:rsid w:val="00EA2399"/>
    <w:rsid w:val="00EC05C2"/>
    <w:rsid w:val="00EC0F43"/>
    <w:rsid w:val="00ED1D7C"/>
    <w:rsid w:val="00ED26B6"/>
    <w:rsid w:val="00ED2A98"/>
    <w:rsid w:val="00ED6A29"/>
    <w:rsid w:val="00EE1D41"/>
    <w:rsid w:val="00EF4E91"/>
    <w:rsid w:val="00EF5026"/>
    <w:rsid w:val="00F1147E"/>
    <w:rsid w:val="00F13D9E"/>
    <w:rsid w:val="00F21EA8"/>
    <w:rsid w:val="00F22EA6"/>
    <w:rsid w:val="00F24CB4"/>
    <w:rsid w:val="00F27758"/>
    <w:rsid w:val="00F306BE"/>
    <w:rsid w:val="00F32891"/>
    <w:rsid w:val="00F34AA8"/>
    <w:rsid w:val="00F371FC"/>
    <w:rsid w:val="00F37DCD"/>
    <w:rsid w:val="00F450F5"/>
    <w:rsid w:val="00F626EE"/>
    <w:rsid w:val="00F631A9"/>
    <w:rsid w:val="00F63421"/>
    <w:rsid w:val="00F63635"/>
    <w:rsid w:val="00F7017F"/>
    <w:rsid w:val="00F71F89"/>
    <w:rsid w:val="00F73B22"/>
    <w:rsid w:val="00F73DF8"/>
    <w:rsid w:val="00F7595D"/>
    <w:rsid w:val="00F7690B"/>
    <w:rsid w:val="00F84720"/>
    <w:rsid w:val="00FA0D92"/>
    <w:rsid w:val="00FA12F1"/>
    <w:rsid w:val="00FB204B"/>
    <w:rsid w:val="00FB549F"/>
    <w:rsid w:val="00FB5CFA"/>
    <w:rsid w:val="00FB6EC6"/>
    <w:rsid w:val="00FC1FA3"/>
    <w:rsid w:val="00FC377C"/>
    <w:rsid w:val="00FD12A3"/>
    <w:rsid w:val="00FD56AF"/>
    <w:rsid w:val="00FD6A19"/>
    <w:rsid w:val="00FD779C"/>
    <w:rsid w:val="00FE02B0"/>
    <w:rsid w:val="00FE470F"/>
    <w:rsid w:val="00FF5EFC"/>
    <w:rsid w:val="00FF647B"/>
    <w:rsid w:val="00FF6ADE"/>
    <w:rsid w:val="00FF71F0"/>
    <w:rsid w:val="015822EA"/>
    <w:rsid w:val="04D14EC2"/>
    <w:rsid w:val="063F38FA"/>
    <w:rsid w:val="0B06793E"/>
    <w:rsid w:val="0BA53B48"/>
    <w:rsid w:val="0BD92494"/>
    <w:rsid w:val="0CD318FA"/>
    <w:rsid w:val="0D1D6F16"/>
    <w:rsid w:val="0FD35E6A"/>
    <w:rsid w:val="17EF632E"/>
    <w:rsid w:val="1A446364"/>
    <w:rsid w:val="1AF2046B"/>
    <w:rsid w:val="1C6420CD"/>
    <w:rsid w:val="205D3247"/>
    <w:rsid w:val="20FB0F4E"/>
    <w:rsid w:val="216A3BD4"/>
    <w:rsid w:val="23075B6C"/>
    <w:rsid w:val="2392549A"/>
    <w:rsid w:val="23BC3822"/>
    <w:rsid w:val="257F0B5F"/>
    <w:rsid w:val="2A8005EC"/>
    <w:rsid w:val="2FB362D2"/>
    <w:rsid w:val="2FD71087"/>
    <w:rsid w:val="2FEB13B0"/>
    <w:rsid w:val="335D754D"/>
    <w:rsid w:val="33610299"/>
    <w:rsid w:val="38972991"/>
    <w:rsid w:val="39F520FB"/>
    <w:rsid w:val="3C6626E1"/>
    <w:rsid w:val="3EA3729E"/>
    <w:rsid w:val="3F610D42"/>
    <w:rsid w:val="3F6A3D0F"/>
    <w:rsid w:val="454842A7"/>
    <w:rsid w:val="46404FCA"/>
    <w:rsid w:val="47146DE8"/>
    <w:rsid w:val="477B17DE"/>
    <w:rsid w:val="478D4E1C"/>
    <w:rsid w:val="47DF694D"/>
    <w:rsid w:val="486203B1"/>
    <w:rsid w:val="49157D33"/>
    <w:rsid w:val="4D14452F"/>
    <w:rsid w:val="4EE111AF"/>
    <w:rsid w:val="4EFB45EF"/>
    <w:rsid w:val="509E2F9C"/>
    <w:rsid w:val="532B5281"/>
    <w:rsid w:val="538A02B9"/>
    <w:rsid w:val="538D006A"/>
    <w:rsid w:val="547D6130"/>
    <w:rsid w:val="570F2842"/>
    <w:rsid w:val="58663B89"/>
    <w:rsid w:val="589154A2"/>
    <w:rsid w:val="59EE1188"/>
    <w:rsid w:val="5A186AAC"/>
    <w:rsid w:val="5AD3378E"/>
    <w:rsid w:val="5D4E7D9F"/>
    <w:rsid w:val="5FE26E34"/>
    <w:rsid w:val="5FE41E96"/>
    <w:rsid w:val="61F83A43"/>
    <w:rsid w:val="638A7765"/>
    <w:rsid w:val="66C86EB4"/>
    <w:rsid w:val="678E2FB2"/>
    <w:rsid w:val="6A7A1C84"/>
    <w:rsid w:val="6B8018E0"/>
    <w:rsid w:val="6D2859DE"/>
    <w:rsid w:val="6FBF443D"/>
    <w:rsid w:val="74F732FA"/>
    <w:rsid w:val="75572C61"/>
    <w:rsid w:val="767B38A0"/>
    <w:rsid w:val="7A1A4F45"/>
    <w:rsid w:val="7B417639"/>
    <w:rsid w:val="7F4A0869"/>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7">
    <w:name w:val="Default Paragraph Font"/>
    <w:unhideWhenUsed/>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qFormat/>
    <w:uiPriority w:val="0"/>
    <w:rPr>
      <w:sz w:val="44"/>
    </w:rPr>
  </w:style>
  <w:style w:type="paragraph" w:styleId="3">
    <w:name w:val="Date"/>
    <w:basedOn w:val="1"/>
    <w:next w:val="1"/>
    <w:qFormat/>
    <w:uiPriority w:val="0"/>
    <w:pPr>
      <w:ind w:left="100" w:leftChars="2500"/>
    </w:pPr>
  </w:style>
  <w:style w:type="paragraph" w:styleId="4">
    <w:name w:val="Balloon Text"/>
    <w:basedOn w:val="1"/>
    <w:link w:val="14"/>
    <w:qFormat/>
    <w:uiPriority w:val="0"/>
    <w:rPr>
      <w:sz w:val="18"/>
      <w:szCs w:val="18"/>
    </w:rPr>
  </w:style>
  <w:style w:type="paragraph" w:styleId="5">
    <w:name w:val="footer"/>
    <w:basedOn w:val="1"/>
    <w:link w:val="15"/>
    <w:qFormat/>
    <w:uiPriority w:val="99"/>
    <w:pPr>
      <w:tabs>
        <w:tab w:val="center" w:pos="4153"/>
        <w:tab w:val="right" w:pos="8306"/>
      </w:tabs>
      <w:snapToGrid w:val="0"/>
      <w:jc w:val="left"/>
    </w:pPr>
    <w:rPr>
      <w:sz w:val="18"/>
      <w:szCs w:val="18"/>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styleId="9">
    <w:name w:val="Hyperlink"/>
    <w:basedOn w:val="7"/>
    <w:qFormat/>
    <w:uiPriority w:val="0"/>
    <w:rPr>
      <w:color w:val="0000FF"/>
      <w:u w:val="single"/>
    </w:rPr>
  </w:style>
  <w:style w:type="table" w:styleId="11">
    <w:name w:val="Table Grid"/>
    <w:basedOn w:val="1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12">
    <w:name w:val="页眉 Char"/>
    <w:basedOn w:val="7"/>
    <w:link w:val="6"/>
    <w:qFormat/>
    <w:uiPriority w:val="0"/>
    <w:rPr>
      <w:kern w:val="2"/>
      <w:sz w:val="18"/>
      <w:szCs w:val="18"/>
    </w:rPr>
  </w:style>
  <w:style w:type="paragraph" w:customStyle="1" w:styleId="13">
    <w:name w:val="Char Char Char Char Char Char Char Char Char Char"/>
    <w:basedOn w:val="1"/>
    <w:qFormat/>
    <w:uiPriority w:val="0"/>
    <w:pPr>
      <w:numPr>
        <w:ilvl w:val="0"/>
        <w:numId w:val="1"/>
      </w:numPr>
    </w:pPr>
    <w:rPr>
      <w:sz w:val="24"/>
    </w:rPr>
  </w:style>
  <w:style w:type="character" w:customStyle="1" w:styleId="14">
    <w:name w:val="批注框文本 Char"/>
    <w:basedOn w:val="7"/>
    <w:link w:val="4"/>
    <w:qFormat/>
    <w:uiPriority w:val="0"/>
    <w:rPr>
      <w:kern w:val="2"/>
      <w:sz w:val="18"/>
      <w:szCs w:val="18"/>
    </w:rPr>
  </w:style>
  <w:style w:type="character" w:customStyle="1" w:styleId="15">
    <w:name w:val="页脚 Char"/>
    <w:basedOn w:val="7"/>
    <w:link w:val="5"/>
    <w:qFormat/>
    <w:uiPriority w:val="99"/>
    <w:rPr>
      <w:rFonts w:eastAsia="仿宋_GB2312"/>
      <w:kern w:val="2"/>
      <w:sz w:val="18"/>
      <w:szCs w:val="18"/>
    </w:rPr>
  </w:style>
  <w:style w:type="paragraph" w:customStyle="1" w:styleId="1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A52034-682E-4974-9546-1EFF36EF346C}">
  <ds:schemaRefs/>
</ds:datastoreItem>
</file>

<file path=docProps/app.xml><?xml version="1.0" encoding="utf-8"?>
<Properties xmlns="http://schemas.openxmlformats.org/officeDocument/2006/extended-properties" xmlns:vt="http://schemas.openxmlformats.org/officeDocument/2006/docPropsVTypes">
  <Template>Normal</Template>
  <Company>MC SYSTEM</Company>
  <Pages>1</Pages>
  <Words>301</Words>
  <Characters>1719</Characters>
  <Lines>14</Lines>
  <Paragraphs>4</Paragraphs>
  <ScaleCrop>false</ScaleCrop>
  <LinksUpToDate>false</LinksUpToDate>
  <CharactersWithSpaces>2016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2019-07-02T07:46:00Z</dcterms:created>
  <dc:creator>MC SYSTEM</dc:creator>
  <cp:lastModifiedBy>翟传翠</cp:lastModifiedBy>
  <cp:lastPrinted>2019-07-25T03:38:00Z</cp:lastPrinted>
  <dcterms:modified xsi:type="dcterms:W3CDTF">2020-10-26T03:09:17Z</dcterms:modified>
  <dc:title>企业知识产权工作情况调研方案（草稿）</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